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DC" w:rsidRPr="00247341" w:rsidRDefault="00937FDC" w:rsidP="00937FDC">
      <w:pPr>
        <w:pStyle w:val="Heading1"/>
        <w:ind w:right="-288"/>
        <w:jc w:val="center"/>
        <w:rPr>
          <w:rFonts w:ascii="Book Antiqua" w:hAnsi="Book Antiqua"/>
          <w:szCs w:val="24"/>
        </w:rPr>
      </w:pPr>
      <w:r w:rsidRPr="00247341">
        <w:rPr>
          <w:rFonts w:ascii="Book Antiqua" w:hAnsi="Book Antiqua"/>
          <w:szCs w:val="24"/>
        </w:rPr>
        <w:t>PERMAJU INDUSTRIES BERHAD</w:t>
      </w:r>
    </w:p>
    <w:p w:rsidR="00937FDC" w:rsidRPr="00247341" w:rsidRDefault="00937FDC" w:rsidP="00937FDC">
      <w:pPr>
        <w:ind w:right="-288"/>
        <w:jc w:val="center"/>
        <w:rPr>
          <w:sz w:val="24"/>
          <w:szCs w:val="24"/>
        </w:rPr>
      </w:pPr>
      <w:r w:rsidRPr="00247341">
        <w:rPr>
          <w:sz w:val="24"/>
          <w:szCs w:val="24"/>
        </w:rPr>
        <w:t>(Incorporated in Malaysia) Company No. 379057-V</w:t>
      </w:r>
    </w:p>
    <w:p w:rsidR="00937FDC" w:rsidRPr="00247341" w:rsidRDefault="00937FDC" w:rsidP="00937FDC">
      <w:pPr>
        <w:pStyle w:val="Heading1"/>
        <w:ind w:right="-288"/>
        <w:rPr>
          <w:szCs w:val="24"/>
        </w:rPr>
      </w:pPr>
    </w:p>
    <w:p w:rsidR="00937FDC" w:rsidRPr="00247341" w:rsidRDefault="00937FDC" w:rsidP="00937FDC">
      <w:pPr>
        <w:ind w:right="-288"/>
        <w:rPr>
          <w:sz w:val="24"/>
          <w:szCs w:val="24"/>
        </w:rPr>
      </w:pPr>
    </w:p>
    <w:p w:rsidR="00937FDC" w:rsidRPr="00247341" w:rsidRDefault="00937FDC" w:rsidP="00937FDC">
      <w:pPr>
        <w:pStyle w:val="Heading1"/>
        <w:ind w:right="-288"/>
        <w:jc w:val="center"/>
        <w:rPr>
          <w:szCs w:val="24"/>
        </w:rPr>
      </w:pPr>
      <w:r w:rsidRPr="00247341">
        <w:rPr>
          <w:szCs w:val="24"/>
        </w:rPr>
        <w:t>INTERIM REPORT FOR THE FINANCIAL QUARTER</w:t>
      </w:r>
    </w:p>
    <w:p w:rsidR="00937FDC" w:rsidRPr="00247341" w:rsidRDefault="00937FDC" w:rsidP="00937FDC">
      <w:pPr>
        <w:pStyle w:val="Heading1"/>
        <w:ind w:right="-288"/>
        <w:jc w:val="center"/>
        <w:rPr>
          <w:szCs w:val="24"/>
        </w:rPr>
      </w:pPr>
      <w:r w:rsidRPr="00247341">
        <w:rPr>
          <w:szCs w:val="24"/>
        </w:rPr>
        <w:t xml:space="preserve">ENDED </w:t>
      </w:r>
      <w:r w:rsidR="00465075">
        <w:rPr>
          <w:szCs w:val="24"/>
        </w:rPr>
        <w:t>30TH</w:t>
      </w:r>
      <w:r w:rsidRPr="00247341">
        <w:rPr>
          <w:szCs w:val="24"/>
        </w:rPr>
        <w:t xml:space="preserve"> </w:t>
      </w:r>
      <w:r w:rsidR="00465075">
        <w:rPr>
          <w:szCs w:val="24"/>
        </w:rPr>
        <w:t>JUNE</w:t>
      </w:r>
      <w:r w:rsidRPr="00247341">
        <w:rPr>
          <w:szCs w:val="24"/>
        </w:rPr>
        <w:t xml:space="preserve"> 2011</w:t>
      </w:r>
    </w:p>
    <w:p w:rsidR="00937FDC" w:rsidRPr="00247341" w:rsidRDefault="00937FDC" w:rsidP="00937FDC">
      <w:pPr>
        <w:ind w:right="-288"/>
        <w:jc w:val="center"/>
        <w:rPr>
          <w:sz w:val="24"/>
          <w:szCs w:val="24"/>
        </w:rPr>
      </w:pPr>
      <w:r w:rsidRPr="00247341">
        <w:rPr>
          <w:sz w:val="24"/>
          <w:szCs w:val="24"/>
        </w:rPr>
        <w:t>---------------------------------------------------------------------------------</w:t>
      </w:r>
    </w:p>
    <w:p w:rsidR="00937FDC" w:rsidRPr="00247341" w:rsidRDefault="00937FDC" w:rsidP="00937FDC">
      <w:pPr>
        <w:pStyle w:val="Heading3"/>
        <w:ind w:right="-288"/>
        <w:rPr>
          <w:szCs w:val="24"/>
        </w:rPr>
      </w:pPr>
    </w:p>
    <w:p w:rsidR="00937FDC" w:rsidRPr="00247341" w:rsidRDefault="00937FDC" w:rsidP="00937FDC">
      <w:pPr>
        <w:pStyle w:val="Heading3"/>
        <w:rPr>
          <w:szCs w:val="24"/>
        </w:rPr>
      </w:pPr>
      <w:r w:rsidRPr="00247341">
        <w:rPr>
          <w:szCs w:val="24"/>
        </w:rPr>
        <w:t xml:space="preserve">NOTES TO THE UNAUDITED FINANCIAL STATEMENTS </w:t>
      </w:r>
      <w:r w:rsidR="00465075">
        <w:rPr>
          <w:szCs w:val="24"/>
        </w:rPr>
        <w:t>FOR THE FINANCIAL PERIOD ENDED 30TH</w:t>
      </w:r>
      <w:r w:rsidRPr="00247341">
        <w:rPr>
          <w:szCs w:val="24"/>
        </w:rPr>
        <w:t xml:space="preserve"> </w:t>
      </w:r>
      <w:r w:rsidR="00465075">
        <w:rPr>
          <w:szCs w:val="24"/>
        </w:rPr>
        <w:t>JUNE</w:t>
      </w:r>
      <w:r w:rsidRPr="00247341">
        <w:rPr>
          <w:szCs w:val="24"/>
        </w:rPr>
        <w:t xml:space="preserve"> 2011</w:t>
      </w:r>
    </w:p>
    <w:p w:rsidR="00937FDC" w:rsidRPr="00247341" w:rsidRDefault="00937FDC" w:rsidP="00937FDC">
      <w:pPr>
        <w:ind w:right="-288"/>
        <w:jc w:val="both"/>
        <w:rPr>
          <w:sz w:val="24"/>
          <w:szCs w:val="24"/>
        </w:rPr>
      </w:pPr>
    </w:p>
    <w:p w:rsidR="00937FDC" w:rsidRPr="00247341" w:rsidRDefault="00937FDC" w:rsidP="00937FDC">
      <w:pPr>
        <w:pStyle w:val="Heading3"/>
        <w:ind w:right="-288"/>
        <w:rPr>
          <w:szCs w:val="24"/>
        </w:rPr>
      </w:pPr>
      <w:r w:rsidRPr="00247341">
        <w:rPr>
          <w:szCs w:val="24"/>
        </w:rPr>
        <w:t>PART A – EXPLANATORY NOTES PURSUANT TO FRS 134</w:t>
      </w:r>
    </w:p>
    <w:p w:rsidR="00937FDC" w:rsidRPr="00247341" w:rsidRDefault="00937FDC" w:rsidP="00937FDC">
      <w:pPr>
        <w:ind w:right="-288"/>
        <w:jc w:val="both"/>
        <w:rPr>
          <w:sz w:val="24"/>
          <w:szCs w:val="24"/>
        </w:rPr>
      </w:pPr>
    </w:p>
    <w:p w:rsidR="00937FDC" w:rsidRPr="00D92E8B" w:rsidRDefault="00937FDC" w:rsidP="00D92E8B">
      <w:pPr>
        <w:pStyle w:val="ListParagraph"/>
        <w:numPr>
          <w:ilvl w:val="0"/>
          <w:numId w:val="1"/>
        </w:numPr>
        <w:tabs>
          <w:tab w:val="num" w:pos="360"/>
        </w:tabs>
        <w:ind w:hanging="720"/>
        <w:jc w:val="both"/>
        <w:rPr>
          <w:sz w:val="24"/>
          <w:szCs w:val="24"/>
        </w:rPr>
      </w:pPr>
      <w:r w:rsidRPr="00D92E8B">
        <w:rPr>
          <w:sz w:val="24"/>
          <w:szCs w:val="24"/>
        </w:rPr>
        <w:t>BASIS OF PREPARATION</w:t>
      </w:r>
    </w:p>
    <w:p w:rsidR="00937FDC" w:rsidRPr="00247341" w:rsidRDefault="00937FDC" w:rsidP="00937FDC">
      <w:pPr>
        <w:ind w:left="360"/>
        <w:jc w:val="both"/>
        <w:rPr>
          <w:sz w:val="16"/>
          <w:szCs w:val="16"/>
        </w:rPr>
      </w:pPr>
    </w:p>
    <w:p w:rsidR="00937FDC" w:rsidRPr="00247341" w:rsidRDefault="00937FDC" w:rsidP="00937FDC">
      <w:pPr>
        <w:ind w:left="360" w:right="-288"/>
        <w:jc w:val="both"/>
        <w:rPr>
          <w:sz w:val="24"/>
          <w:szCs w:val="24"/>
        </w:rPr>
      </w:pPr>
      <w:r w:rsidRPr="00247341">
        <w:rPr>
          <w:sz w:val="24"/>
          <w:szCs w:val="24"/>
        </w:rPr>
        <w:t>The interim financial statements of the Group are unaudited and have been prepared in accordance with the requirements of FRS 134: Interim Financial Reporting and Paragraph 9.22 of the Main Market Listing Requirements of Bursa Malaysia Securities Berhad.</w:t>
      </w:r>
    </w:p>
    <w:p w:rsidR="00937FDC" w:rsidRPr="00247341" w:rsidRDefault="00937FDC" w:rsidP="00937FDC">
      <w:pPr>
        <w:ind w:left="360" w:right="-288"/>
        <w:jc w:val="both"/>
        <w:rPr>
          <w:sz w:val="16"/>
          <w:szCs w:val="16"/>
        </w:rPr>
      </w:pPr>
    </w:p>
    <w:p w:rsidR="00937FDC" w:rsidRPr="00247341" w:rsidRDefault="00937FDC" w:rsidP="00937FDC">
      <w:pPr>
        <w:ind w:left="360" w:right="-288"/>
        <w:jc w:val="both"/>
        <w:rPr>
          <w:sz w:val="24"/>
          <w:szCs w:val="24"/>
        </w:rPr>
      </w:pPr>
      <w:r w:rsidRPr="00247341">
        <w:rPr>
          <w:sz w:val="24"/>
          <w:szCs w:val="24"/>
        </w:rPr>
        <w:t>The interim financial statements should be read in conjunction with the audited financial statements for the year ended 31</w:t>
      </w:r>
      <w:r w:rsidRPr="00247341">
        <w:rPr>
          <w:sz w:val="24"/>
          <w:szCs w:val="24"/>
          <w:vertAlign w:val="superscript"/>
        </w:rPr>
        <w:t>st</w:t>
      </w:r>
      <w:r w:rsidRPr="00247341">
        <w:rPr>
          <w:sz w:val="24"/>
          <w:szCs w:val="24"/>
        </w:rPr>
        <w:t xml:space="preserve"> December 2010.  These explanatory notes attached to the interim financial statements provide an explanation of events and transactions that are significant to an understanding of the changes in the financial position and performance of the Group since the year ended 31</w:t>
      </w:r>
      <w:r w:rsidRPr="00247341">
        <w:rPr>
          <w:sz w:val="24"/>
          <w:szCs w:val="24"/>
          <w:vertAlign w:val="superscript"/>
        </w:rPr>
        <w:t>st</w:t>
      </w:r>
      <w:r w:rsidRPr="00247341">
        <w:rPr>
          <w:sz w:val="24"/>
          <w:szCs w:val="24"/>
        </w:rPr>
        <w:t xml:space="preserve"> December 2010.</w:t>
      </w:r>
    </w:p>
    <w:p w:rsidR="00937FDC" w:rsidRPr="00247341" w:rsidRDefault="00937FDC" w:rsidP="00937FDC">
      <w:pPr>
        <w:tabs>
          <w:tab w:val="left" w:pos="540"/>
        </w:tabs>
        <w:ind w:right="-288"/>
        <w:jc w:val="both"/>
        <w:rPr>
          <w:sz w:val="16"/>
          <w:szCs w:val="16"/>
        </w:rPr>
      </w:pPr>
    </w:p>
    <w:p w:rsidR="00937FDC" w:rsidRPr="00247341" w:rsidRDefault="00937FDC" w:rsidP="00937FDC">
      <w:pPr>
        <w:tabs>
          <w:tab w:val="left" w:pos="360"/>
        </w:tabs>
        <w:ind w:right="-288"/>
        <w:jc w:val="both"/>
        <w:rPr>
          <w:sz w:val="24"/>
          <w:szCs w:val="24"/>
        </w:rPr>
      </w:pPr>
      <w:r w:rsidRPr="00247341">
        <w:rPr>
          <w:sz w:val="24"/>
          <w:szCs w:val="24"/>
        </w:rPr>
        <w:t>2.</w:t>
      </w:r>
      <w:r w:rsidRPr="00247341">
        <w:rPr>
          <w:sz w:val="24"/>
          <w:szCs w:val="24"/>
        </w:rPr>
        <w:tab/>
        <w:t>SIGNIFICANT ACCOUNTING POLICIES</w:t>
      </w:r>
    </w:p>
    <w:p w:rsidR="00937FDC" w:rsidRPr="00247341" w:rsidRDefault="00937FDC" w:rsidP="00937FDC">
      <w:pPr>
        <w:ind w:left="360" w:right="-288"/>
        <w:jc w:val="both"/>
        <w:rPr>
          <w:sz w:val="16"/>
          <w:szCs w:val="16"/>
        </w:rPr>
      </w:pPr>
    </w:p>
    <w:p w:rsidR="00937FDC" w:rsidRPr="00247341" w:rsidRDefault="00937FDC" w:rsidP="00937FDC">
      <w:pPr>
        <w:ind w:left="360" w:right="-331"/>
        <w:jc w:val="both"/>
        <w:rPr>
          <w:sz w:val="24"/>
          <w:szCs w:val="24"/>
        </w:rPr>
      </w:pPr>
      <w:r w:rsidRPr="00247341">
        <w:rPr>
          <w:sz w:val="24"/>
          <w:szCs w:val="24"/>
        </w:rPr>
        <w:t>The accounting policies, methods of computation and basis of consolidation adopted by the Group in this interim financial report are consistent with those adopted in the most recent annual audited financial statements for the financial year ended 31</w:t>
      </w:r>
      <w:r w:rsidRPr="00247341">
        <w:rPr>
          <w:sz w:val="24"/>
          <w:szCs w:val="24"/>
          <w:vertAlign w:val="superscript"/>
        </w:rPr>
        <w:t>st</w:t>
      </w:r>
      <w:r w:rsidRPr="00247341">
        <w:rPr>
          <w:sz w:val="24"/>
          <w:szCs w:val="24"/>
        </w:rPr>
        <w:t xml:space="preserve"> December 2010, except for the mandatory adoption of the new and revised Financial Reporting Standards (“FRSs”) and Issues Committee Interpretations (“IC Int.”) beginning on or after 1</w:t>
      </w:r>
      <w:r w:rsidRPr="00247341">
        <w:rPr>
          <w:sz w:val="24"/>
          <w:szCs w:val="24"/>
          <w:vertAlign w:val="superscript"/>
        </w:rPr>
        <w:t>st</w:t>
      </w:r>
      <w:r w:rsidRPr="00247341">
        <w:rPr>
          <w:sz w:val="24"/>
          <w:szCs w:val="24"/>
        </w:rPr>
        <w:t xml:space="preserve"> January 2011. The adoption of the accounting policies did not have any significant effects on the interim financial report upon their initial application, other than as discussed below: </w:t>
      </w:r>
    </w:p>
    <w:p w:rsidR="00937FDC" w:rsidRPr="00247341" w:rsidRDefault="00937FDC" w:rsidP="00937FDC">
      <w:pPr>
        <w:jc w:val="both"/>
        <w:rPr>
          <w:sz w:val="16"/>
          <w:szCs w:val="16"/>
        </w:rPr>
      </w:pPr>
    </w:p>
    <w:p w:rsidR="00937FDC" w:rsidRPr="00247341" w:rsidRDefault="00937FDC" w:rsidP="00937FDC">
      <w:pPr>
        <w:ind w:left="630" w:hanging="270"/>
        <w:jc w:val="both"/>
        <w:rPr>
          <w:sz w:val="24"/>
          <w:szCs w:val="24"/>
        </w:rPr>
      </w:pPr>
      <w:r w:rsidRPr="00247341">
        <w:rPr>
          <w:sz w:val="24"/>
          <w:szCs w:val="24"/>
        </w:rPr>
        <w:t>a) FRS 3 (revised</w:t>
      </w:r>
      <w:proofErr w:type="gramStart"/>
      <w:r w:rsidRPr="00247341">
        <w:rPr>
          <w:sz w:val="24"/>
          <w:szCs w:val="24"/>
        </w:rPr>
        <w:t>) :</w:t>
      </w:r>
      <w:proofErr w:type="gramEnd"/>
      <w:r w:rsidRPr="00247341">
        <w:rPr>
          <w:sz w:val="24"/>
          <w:szCs w:val="24"/>
        </w:rPr>
        <w:t xml:space="preserve"> Business Combinations and Amendments to FRS 127 Consolidated and Separate Financial Statements </w:t>
      </w:r>
    </w:p>
    <w:p w:rsidR="00937FDC" w:rsidRPr="00247341" w:rsidRDefault="00937FDC" w:rsidP="00937FDC">
      <w:pPr>
        <w:ind w:left="630" w:right="-360"/>
        <w:jc w:val="both"/>
        <w:rPr>
          <w:sz w:val="24"/>
          <w:szCs w:val="24"/>
        </w:rPr>
      </w:pPr>
      <w:r w:rsidRPr="00247341">
        <w:rPr>
          <w:sz w:val="24"/>
          <w:szCs w:val="24"/>
        </w:rPr>
        <w:t xml:space="preserve">The revised FRS 3 will impact the amount of goodwill </w:t>
      </w:r>
      <w:proofErr w:type="spellStart"/>
      <w:r w:rsidRPr="00247341">
        <w:rPr>
          <w:sz w:val="24"/>
          <w:szCs w:val="24"/>
        </w:rPr>
        <w:t>recognised</w:t>
      </w:r>
      <w:proofErr w:type="spellEnd"/>
      <w:r w:rsidRPr="00247341">
        <w:rPr>
          <w:sz w:val="24"/>
          <w:szCs w:val="24"/>
        </w:rPr>
        <w:t xml:space="preserve">, the reported results in the period that an acquisition occurs, and future reported results. The Amendments to FRS 127 require that a change in the ownership interest of a subsidiary (without loss of control) is accounted for as an equity transaction. Therefore, such transactions will no longer give rise to goodwill, nor will they give rise to a gain or loss. The amended standard changes the accounting for losses incurred by the subsidiary as well as the loss of control of a subsidiary. Other consequential amendments have been made to FRS 107 Statement of Cash Flows, FRS 112 Income Taxes, FRS 121 </w:t>
      </w:r>
      <w:proofErr w:type="gramStart"/>
      <w:r w:rsidRPr="00247341">
        <w:rPr>
          <w:sz w:val="24"/>
          <w:szCs w:val="24"/>
        </w:rPr>
        <w:t>The</w:t>
      </w:r>
      <w:proofErr w:type="gramEnd"/>
      <w:r w:rsidRPr="00247341">
        <w:rPr>
          <w:sz w:val="24"/>
          <w:szCs w:val="24"/>
        </w:rPr>
        <w:t xml:space="preserve"> Effects of Changes in Foreign Exchange Rates, FRS 128 Investments in Associates and FRS 131 Interests in Joint Ventures. </w:t>
      </w:r>
    </w:p>
    <w:p w:rsidR="00937FDC" w:rsidRPr="00247341" w:rsidRDefault="00937FDC" w:rsidP="00937FDC">
      <w:pPr>
        <w:ind w:right="-360"/>
        <w:jc w:val="both"/>
        <w:rPr>
          <w:sz w:val="24"/>
          <w:szCs w:val="24"/>
        </w:rPr>
      </w:pPr>
    </w:p>
    <w:p w:rsidR="00937FDC" w:rsidRPr="003F3F21" w:rsidRDefault="00937FDC" w:rsidP="00937FDC">
      <w:pPr>
        <w:ind w:left="360" w:right="-360" w:hanging="360"/>
        <w:jc w:val="both"/>
        <w:rPr>
          <w:sz w:val="24"/>
          <w:szCs w:val="24"/>
        </w:rPr>
      </w:pPr>
      <w:r w:rsidRPr="003F3F21">
        <w:rPr>
          <w:sz w:val="24"/>
          <w:szCs w:val="24"/>
        </w:rPr>
        <w:tab/>
        <w:t>This Standard did not have any significant impact on the financial position and results of the Group.</w:t>
      </w:r>
    </w:p>
    <w:p w:rsidR="00820363" w:rsidRDefault="00820363" w:rsidP="00937FDC">
      <w:pPr>
        <w:ind w:left="360" w:right="-360" w:hanging="360"/>
        <w:jc w:val="both"/>
        <w:rPr>
          <w:sz w:val="24"/>
          <w:szCs w:val="24"/>
        </w:rPr>
      </w:pPr>
    </w:p>
    <w:p w:rsidR="00937FDC" w:rsidRPr="00247341" w:rsidRDefault="00937FDC" w:rsidP="00937FDC">
      <w:pPr>
        <w:ind w:left="360" w:right="-288"/>
        <w:jc w:val="both"/>
        <w:rPr>
          <w:sz w:val="16"/>
          <w:szCs w:val="16"/>
        </w:rPr>
      </w:pPr>
    </w:p>
    <w:p w:rsidR="00937FDC" w:rsidRPr="00D92E8B" w:rsidRDefault="00937FDC" w:rsidP="00D92E8B">
      <w:pPr>
        <w:pStyle w:val="ListParagraph"/>
        <w:numPr>
          <w:ilvl w:val="0"/>
          <w:numId w:val="2"/>
        </w:numPr>
        <w:tabs>
          <w:tab w:val="num" w:pos="360"/>
        </w:tabs>
        <w:ind w:right="-288" w:hanging="1080"/>
        <w:jc w:val="both"/>
        <w:rPr>
          <w:sz w:val="24"/>
          <w:szCs w:val="24"/>
        </w:rPr>
      </w:pPr>
      <w:r w:rsidRPr="00D92E8B">
        <w:rPr>
          <w:sz w:val="24"/>
          <w:szCs w:val="24"/>
        </w:rPr>
        <w:lastRenderedPageBreak/>
        <w:t>AUDIT REPORT</w:t>
      </w:r>
    </w:p>
    <w:p w:rsidR="00937FDC" w:rsidRPr="00247341" w:rsidRDefault="00937FDC" w:rsidP="00937FDC">
      <w:pPr>
        <w:ind w:left="360"/>
        <w:jc w:val="both"/>
      </w:pPr>
    </w:p>
    <w:p w:rsidR="00937FDC" w:rsidRPr="00820363" w:rsidRDefault="00937FDC" w:rsidP="00937FDC">
      <w:pPr>
        <w:ind w:left="360" w:right="-288"/>
        <w:jc w:val="both"/>
        <w:rPr>
          <w:color w:val="FF0000"/>
          <w:sz w:val="24"/>
          <w:szCs w:val="24"/>
        </w:rPr>
      </w:pPr>
      <w:r w:rsidRPr="00247341">
        <w:rPr>
          <w:sz w:val="24"/>
          <w:szCs w:val="24"/>
        </w:rPr>
        <w:t>The audit report of the Group’s annual financial statements for the year ended 31</w:t>
      </w:r>
      <w:r w:rsidRPr="00247341">
        <w:rPr>
          <w:sz w:val="24"/>
          <w:szCs w:val="24"/>
          <w:vertAlign w:val="superscript"/>
        </w:rPr>
        <w:t>st</w:t>
      </w:r>
      <w:r w:rsidRPr="00247341">
        <w:rPr>
          <w:sz w:val="24"/>
          <w:szCs w:val="24"/>
        </w:rPr>
        <w:t xml:space="preserve"> December 2010 was not subject to any qualification.</w:t>
      </w:r>
    </w:p>
    <w:p w:rsidR="00820363" w:rsidRPr="00820363" w:rsidRDefault="00820363" w:rsidP="00937FDC">
      <w:pPr>
        <w:ind w:left="360" w:right="-288"/>
        <w:jc w:val="both"/>
        <w:rPr>
          <w:color w:val="FF0000"/>
          <w:sz w:val="24"/>
          <w:szCs w:val="24"/>
        </w:rPr>
      </w:pPr>
    </w:p>
    <w:p w:rsidR="00820363" w:rsidRPr="003F3F21" w:rsidRDefault="00820363" w:rsidP="00820363">
      <w:pPr>
        <w:pStyle w:val="ListParagraph"/>
        <w:numPr>
          <w:ilvl w:val="0"/>
          <w:numId w:val="2"/>
        </w:numPr>
        <w:tabs>
          <w:tab w:val="num" w:pos="360"/>
        </w:tabs>
        <w:ind w:hanging="1080"/>
        <w:jc w:val="both"/>
        <w:rPr>
          <w:sz w:val="24"/>
          <w:szCs w:val="24"/>
        </w:rPr>
      </w:pPr>
      <w:r w:rsidRPr="003F3F21">
        <w:rPr>
          <w:sz w:val="24"/>
          <w:szCs w:val="24"/>
        </w:rPr>
        <w:t>SEASONAL OR CYCLICAL FACTORS OF INTERIM OPERATIONS</w:t>
      </w:r>
    </w:p>
    <w:p w:rsidR="00820363" w:rsidRPr="003F3F21" w:rsidRDefault="00820363" w:rsidP="00820363">
      <w:pPr>
        <w:jc w:val="both"/>
        <w:rPr>
          <w:sz w:val="12"/>
          <w:szCs w:val="12"/>
        </w:rPr>
      </w:pPr>
    </w:p>
    <w:p w:rsidR="00820363" w:rsidRPr="003F3F21" w:rsidRDefault="00820363" w:rsidP="00820363">
      <w:pPr>
        <w:ind w:left="360" w:right="-288"/>
        <w:jc w:val="both"/>
        <w:rPr>
          <w:sz w:val="24"/>
          <w:szCs w:val="24"/>
        </w:rPr>
      </w:pPr>
      <w:r w:rsidRPr="003F3F21">
        <w:rPr>
          <w:sz w:val="24"/>
          <w:szCs w:val="24"/>
        </w:rPr>
        <w:t xml:space="preserve">The Group’s business operations for the period ended 30th June 2011 have not been materially affected by seasonal or cyclical factors. </w:t>
      </w:r>
    </w:p>
    <w:p w:rsidR="00820363" w:rsidRPr="003F3F21" w:rsidRDefault="00820363" w:rsidP="00820363">
      <w:pPr>
        <w:ind w:left="360" w:right="-288"/>
        <w:jc w:val="both"/>
        <w:rPr>
          <w:sz w:val="12"/>
          <w:szCs w:val="12"/>
        </w:rPr>
      </w:pPr>
    </w:p>
    <w:p w:rsidR="00820363" w:rsidRPr="003F3F21" w:rsidRDefault="00820363" w:rsidP="00820363">
      <w:pPr>
        <w:pStyle w:val="ListParagraph"/>
        <w:numPr>
          <w:ilvl w:val="0"/>
          <w:numId w:val="2"/>
        </w:numPr>
        <w:tabs>
          <w:tab w:val="num" w:pos="360"/>
        </w:tabs>
        <w:ind w:hanging="1080"/>
        <w:jc w:val="both"/>
        <w:rPr>
          <w:sz w:val="24"/>
          <w:szCs w:val="24"/>
        </w:rPr>
      </w:pPr>
      <w:r w:rsidRPr="003F3F21">
        <w:rPr>
          <w:sz w:val="24"/>
          <w:szCs w:val="24"/>
        </w:rPr>
        <w:t>UNUSUAL ITEMS DUE TO THEIR NATURE, SIZE OR INCIDENCE</w:t>
      </w:r>
    </w:p>
    <w:p w:rsidR="00820363" w:rsidRPr="003F3F21" w:rsidRDefault="00820363" w:rsidP="00820363">
      <w:pPr>
        <w:jc w:val="both"/>
        <w:rPr>
          <w:sz w:val="12"/>
          <w:szCs w:val="12"/>
        </w:rPr>
      </w:pPr>
    </w:p>
    <w:p w:rsidR="00820363" w:rsidRPr="003F3F21" w:rsidRDefault="00820363" w:rsidP="00820363">
      <w:pPr>
        <w:ind w:left="360" w:right="-288"/>
        <w:jc w:val="both"/>
        <w:rPr>
          <w:sz w:val="24"/>
          <w:szCs w:val="24"/>
        </w:rPr>
      </w:pPr>
      <w:r w:rsidRPr="003F3F21">
        <w:rPr>
          <w:sz w:val="24"/>
          <w:szCs w:val="24"/>
        </w:rPr>
        <w:t>There were no unusual items affecting assets, liabilities, equity, net income or cash flows of the Group for the financial quarter ended 30th June 2011.</w:t>
      </w:r>
    </w:p>
    <w:p w:rsidR="00820363" w:rsidRPr="003F3F21" w:rsidRDefault="00820363" w:rsidP="00820363">
      <w:pPr>
        <w:ind w:left="360"/>
        <w:jc w:val="both"/>
        <w:rPr>
          <w:sz w:val="12"/>
          <w:szCs w:val="12"/>
        </w:rPr>
      </w:pPr>
    </w:p>
    <w:p w:rsidR="00820363" w:rsidRPr="003F3F21" w:rsidRDefault="00820363" w:rsidP="00820363">
      <w:pPr>
        <w:pStyle w:val="ListParagraph"/>
        <w:numPr>
          <w:ilvl w:val="0"/>
          <w:numId w:val="2"/>
        </w:numPr>
        <w:tabs>
          <w:tab w:val="num" w:pos="360"/>
        </w:tabs>
        <w:ind w:hanging="1080"/>
        <w:jc w:val="both"/>
        <w:rPr>
          <w:sz w:val="24"/>
          <w:szCs w:val="24"/>
        </w:rPr>
      </w:pPr>
      <w:r w:rsidRPr="003F3F21">
        <w:rPr>
          <w:sz w:val="24"/>
          <w:szCs w:val="24"/>
        </w:rPr>
        <w:t>EFFECTS OF CHANGES IN ESTIMATES</w:t>
      </w:r>
    </w:p>
    <w:p w:rsidR="00820363" w:rsidRPr="003F3F21" w:rsidRDefault="00820363" w:rsidP="00820363">
      <w:pPr>
        <w:jc w:val="both"/>
        <w:rPr>
          <w:sz w:val="12"/>
          <w:szCs w:val="12"/>
        </w:rPr>
      </w:pPr>
    </w:p>
    <w:p w:rsidR="00820363" w:rsidRPr="003F3F21" w:rsidRDefault="00820363" w:rsidP="00820363">
      <w:pPr>
        <w:ind w:left="360" w:right="-288"/>
        <w:jc w:val="both"/>
        <w:rPr>
          <w:sz w:val="24"/>
          <w:szCs w:val="24"/>
        </w:rPr>
      </w:pPr>
      <w:r w:rsidRPr="003F3F21">
        <w:rPr>
          <w:sz w:val="24"/>
          <w:szCs w:val="24"/>
        </w:rPr>
        <w:t>There were no changes in estimates that have a material effect in the financial quarter ended 30th June 2011.</w:t>
      </w:r>
    </w:p>
    <w:p w:rsidR="00820363" w:rsidRPr="003F3F21" w:rsidRDefault="00820363" w:rsidP="00820363">
      <w:pPr>
        <w:jc w:val="both"/>
        <w:rPr>
          <w:sz w:val="12"/>
          <w:szCs w:val="12"/>
        </w:rPr>
      </w:pPr>
    </w:p>
    <w:p w:rsidR="00820363" w:rsidRPr="003F3F21" w:rsidRDefault="00820363" w:rsidP="00820363">
      <w:pPr>
        <w:pStyle w:val="ListParagraph"/>
        <w:numPr>
          <w:ilvl w:val="0"/>
          <w:numId w:val="2"/>
        </w:numPr>
        <w:tabs>
          <w:tab w:val="num" w:pos="360"/>
        </w:tabs>
        <w:ind w:hanging="1080"/>
        <w:jc w:val="both"/>
        <w:rPr>
          <w:sz w:val="24"/>
          <w:szCs w:val="24"/>
        </w:rPr>
      </w:pPr>
      <w:r w:rsidRPr="003F3F21">
        <w:rPr>
          <w:sz w:val="24"/>
          <w:szCs w:val="24"/>
        </w:rPr>
        <w:t>CHANGES IN DEBTS AND EQUITY SECURITIES</w:t>
      </w:r>
    </w:p>
    <w:p w:rsidR="00820363" w:rsidRPr="003F3F21" w:rsidRDefault="00820363" w:rsidP="00820363">
      <w:pPr>
        <w:ind w:firstLine="360"/>
        <w:jc w:val="both"/>
        <w:rPr>
          <w:sz w:val="12"/>
          <w:szCs w:val="12"/>
        </w:rPr>
      </w:pPr>
    </w:p>
    <w:p w:rsidR="00820363" w:rsidRPr="003F3F21" w:rsidRDefault="00820363" w:rsidP="00820363">
      <w:pPr>
        <w:pStyle w:val="BodyTextIndent"/>
        <w:ind w:right="-288"/>
        <w:rPr>
          <w:sz w:val="24"/>
          <w:szCs w:val="24"/>
        </w:rPr>
      </w:pPr>
      <w:r w:rsidRPr="003F3F21">
        <w:rPr>
          <w:sz w:val="24"/>
          <w:szCs w:val="24"/>
        </w:rPr>
        <w:t>During the current quarter ended 30th June 2011, there were no issuances, cancellations, repurchases, resale and repayments of debts and equity securities except that the Company bought back 743,700 shares of its issued ordinary shares from the open market at an average price of RM0.379 per share. The total consideration paid for the share buy-back including transaction costs was RM283</w:t>
      </w:r>
      <w:proofErr w:type="gramStart"/>
      <w:r w:rsidRPr="003F3F21">
        <w:rPr>
          <w:sz w:val="24"/>
          <w:szCs w:val="24"/>
        </w:rPr>
        <w:t>,798</w:t>
      </w:r>
      <w:proofErr w:type="gramEnd"/>
      <w:r w:rsidRPr="003F3F21">
        <w:rPr>
          <w:sz w:val="24"/>
          <w:szCs w:val="24"/>
        </w:rPr>
        <w:t xml:space="preserve"> and this was financed by internally generated funds. The shares bought back are being held as treasury shares in accordance with Section 67A of the Companies Act 1965. Total number of shares bought back and held as treasury shares as at the end of the current quarter was 6,949,300 shares.</w:t>
      </w:r>
      <w:r w:rsidRPr="003F3F21">
        <w:rPr>
          <w:sz w:val="24"/>
          <w:szCs w:val="24"/>
        </w:rPr>
        <w:tab/>
      </w:r>
    </w:p>
    <w:p w:rsidR="00820363" w:rsidRPr="003F3F21" w:rsidRDefault="00820363" w:rsidP="00820363">
      <w:pPr>
        <w:pStyle w:val="BodyTextIndent"/>
        <w:rPr>
          <w:sz w:val="16"/>
          <w:szCs w:val="16"/>
        </w:rPr>
      </w:pPr>
    </w:p>
    <w:p w:rsidR="00820363" w:rsidRPr="003F3F21" w:rsidRDefault="00820363" w:rsidP="00820363">
      <w:pPr>
        <w:pStyle w:val="BodyTextIndent"/>
        <w:numPr>
          <w:ilvl w:val="0"/>
          <w:numId w:val="2"/>
        </w:numPr>
        <w:ind w:left="360"/>
        <w:rPr>
          <w:sz w:val="24"/>
          <w:szCs w:val="24"/>
        </w:rPr>
      </w:pPr>
      <w:r w:rsidRPr="003F3F21">
        <w:rPr>
          <w:sz w:val="24"/>
          <w:szCs w:val="24"/>
        </w:rPr>
        <w:t>DIVIDEND PAYMENT</w:t>
      </w:r>
    </w:p>
    <w:p w:rsidR="00820363" w:rsidRPr="003F3F21" w:rsidRDefault="00820363" w:rsidP="00820363">
      <w:pPr>
        <w:pStyle w:val="BodyTextIndent"/>
        <w:rPr>
          <w:sz w:val="16"/>
          <w:szCs w:val="16"/>
        </w:rPr>
      </w:pPr>
    </w:p>
    <w:p w:rsidR="00820363" w:rsidRPr="003F3F21" w:rsidRDefault="00820363" w:rsidP="00820363">
      <w:pPr>
        <w:ind w:left="360" w:right="-288"/>
        <w:jc w:val="both"/>
        <w:rPr>
          <w:sz w:val="24"/>
          <w:szCs w:val="24"/>
        </w:rPr>
      </w:pPr>
      <w:r w:rsidRPr="003F3F21">
        <w:rPr>
          <w:sz w:val="24"/>
          <w:szCs w:val="24"/>
        </w:rPr>
        <w:t>There was no dividend paid for the current quarter and financial period ended 30th June 2011.</w:t>
      </w:r>
    </w:p>
    <w:p w:rsidR="00820363" w:rsidRPr="003F3F21" w:rsidRDefault="00820363" w:rsidP="00937FDC">
      <w:pPr>
        <w:ind w:left="360" w:right="-288"/>
        <w:jc w:val="both"/>
        <w:rPr>
          <w:sz w:val="24"/>
          <w:szCs w:val="24"/>
        </w:rPr>
      </w:pPr>
    </w:p>
    <w:p w:rsidR="00820363" w:rsidRPr="003F3F21" w:rsidRDefault="00820363" w:rsidP="00820363">
      <w:pPr>
        <w:pStyle w:val="BodyTextIndent"/>
        <w:ind w:left="0"/>
        <w:rPr>
          <w:sz w:val="16"/>
          <w:szCs w:val="16"/>
        </w:rPr>
      </w:pPr>
    </w:p>
    <w:p w:rsidR="00820363" w:rsidRPr="003F3F21" w:rsidRDefault="00820363" w:rsidP="00820363">
      <w:pPr>
        <w:pStyle w:val="BodyTextIndent"/>
        <w:numPr>
          <w:ilvl w:val="0"/>
          <w:numId w:val="2"/>
        </w:numPr>
        <w:ind w:left="360"/>
        <w:rPr>
          <w:sz w:val="24"/>
          <w:szCs w:val="24"/>
        </w:rPr>
      </w:pPr>
      <w:r w:rsidRPr="003F3F21">
        <w:rPr>
          <w:sz w:val="24"/>
          <w:szCs w:val="24"/>
        </w:rPr>
        <w:t>CARRYING AMOUNT OF REVALUED ASSETS</w:t>
      </w:r>
    </w:p>
    <w:p w:rsidR="00820363" w:rsidRPr="003F3F21" w:rsidRDefault="00820363" w:rsidP="00820363">
      <w:pPr>
        <w:pStyle w:val="BodyTextIndent"/>
        <w:rPr>
          <w:sz w:val="16"/>
          <w:szCs w:val="16"/>
        </w:rPr>
      </w:pPr>
    </w:p>
    <w:p w:rsidR="00820363" w:rsidRPr="003F3F21" w:rsidRDefault="00820363" w:rsidP="00820363">
      <w:pPr>
        <w:pStyle w:val="BodyTextIndent"/>
        <w:ind w:right="-288"/>
        <w:rPr>
          <w:sz w:val="24"/>
          <w:szCs w:val="24"/>
        </w:rPr>
      </w:pPr>
      <w:r w:rsidRPr="003F3F21">
        <w:rPr>
          <w:sz w:val="24"/>
          <w:szCs w:val="24"/>
        </w:rPr>
        <w:t>There were no assets carried at revalued amount as at the end of the financial quarter under review.</w:t>
      </w:r>
    </w:p>
    <w:p w:rsidR="00820363" w:rsidRPr="003F3F21" w:rsidRDefault="00820363" w:rsidP="00820363">
      <w:pPr>
        <w:pStyle w:val="BodyTextIndent"/>
        <w:rPr>
          <w:sz w:val="16"/>
          <w:szCs w:val="16"/>
        </w:rPr>
      </w:pPr>
    </w:p>
    <w:p w:rsidR="00820363" w:rsidRPr="003F3F21" w:rsidRDefault="00820363" w:rsidP="00820363">
      <w:pPr>
        <w:pStyle w:val="BodyTextIndent"/>
        <w:numPr>
          <w:ilvl w:val="0"/>
          <w:numId w:val="2"/>
        </w:numPr>
        <w:ind w:left="360"/>
        <w:rPr>
          <w:sz w:val="24"/>
          <w:szCs w:val="24"/>
        </w:rPr>
      </w:pPr>
      <w:r w:rsidRPr="003F3F21">
        <w:rPr>
          <w:sz w:val="24"/>
          <w:szCs w:val="24"/>
        </w:rPr>
        <w:t>SUBSEQUENT EVENTS</w:t>
      </w:r>
    </w:p>
    <w:p w:rsidR="00820363" w:rsidRPr="003F3F21" w:rsidRDefault="00820363" w:rsidP="00820363">
      <w:pPr>
        <w:pStyle w:val="BodyTextIndent"/>
        <w:rPr>
          <w:sz w:val="16"/>
          <w:szCs w:val="16"/>
        </w:rPr>
      </w:pPr>
    </w:p>
    <w:p w:rsidR="00937FDC" w:rsidRPr="003F3F21" w:rsidRDefault="00820363" w:rsidP="00820363">
      <w:pPr>
        <w:pStyle w:val="BodyTextIndent"/>
        <w:ind w:right="-288"/>
        <w:rPr>
          <w:sz w:val="16"/>
          <w:szCs w:val="16"/>
        </w:rPr>
      </w:pPr>
      <w:r w:rsidRPr="003F3F21">
        <w:rPr>
          <w:sz w:val="24"/>
          <w:szCs w:val="24"/>
        </w:rPr>
        <w:t>There were no material events subsequent to the interim financial report under review as at the date of this announcement.</w:t>
      </w: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ind w:left="360" w:right="-288"/>
        <w:jc w:val="both"/>
        <w:rPr>
          <w:sz w:val="24"/>
          <w:szCs w:val="24"/>
        </w:rPr>
      </w:pPr>
    </w:p>
    <w:p w:rsidR="00937FDC" w:rsidRPr="003F3F21" w:rsidRDefault="00937FDC" w:rsidP="00937FDC">
      <w:pPr>
        <w:tabs>
          <w:tab w:val="num" w:pos="360"/>
        </w:tabs>
        <w:ind w:left="360" w:hanging="360"/>
        <w:jc w:val="both"/>
        <w:rPr>
          <w:sz w:val="24"/>
          <w:szCs w:val="24"/>
        </w:rPr>
        <w:sectPr w:rsidR="00937FDC" w:rsidRPr="003F3F21" w:rsidSect="00184D45">
          <w:footerReference w:type="even" r:id="rId7"/>
          <w:footerReference w:type="default" r:id="rId8"/>
          <w:pgSz w:w="11909" w:h="16834" w:code="9"/>
          <w:pgMar w:top="1440" w:right="1800" w:bottom="720" w:left="1800" w:header="720" w:footer="720" w:gutter="0"/>
          <w:cols w:space="720"/>
        </w:sectPr>
      </w:pPr>
    </w:p>
    <w:p w:rsidR="00937FDC" w:rsidRPr="003F3F21" w:rsidRDefault="00937FDC" w:rsidP="00D92E8B">
      <w:pPr>
        <w:pStyle w:val="ListParagraph"/>
        <w:numPr>
          <w:ilvl w:val="0"/>
          <w:numId w:val="2"/>
        </w:numPr>
        <w:tabs>
          <w:tab w:val="num" w:pos="360"/>
        </w:tabs>
        <w:ind w:left="810" w:hanging="450"/>
        <w:jc w:val="both"/>
        <w:rPr>
          <w:sz w:val="24"/>
          <w:szCs w:val="24"/>
        </w:rPr>
      </w:pPr>
      <w:r w:rsidRPr="003F3F21">
        <w:rPr>
          <w:sz w:val="24"/>
          <w:szCs w:val="24"/>
        </w:rPr>
        <w:lastRenderedPageBreak/>
        <w:t>OPERATING SEGMENTS</w:t>
      </w:r>
    </w:p>
    <w:p w:rsidR="00937FDC" w:rsidRPr="00247341" w:rsidRDefault="00937FDC" w:rsidP="00937FDC">
      <w:pPr>
        <w:ind w:left="360"/>
        <w:jc w:val="both"/>
        <w:rPr>
          <w:sz w:val="24"/>
          <w:szCs w:val="24"/>
        </w:rPr>
      </w:pPr>
    </w:p>
    <w:p w:rsidR="00937FDC" w:rsidRPr="00247341" w:rsidRDefault="00937FDC" w:rsidP="00937FDC">
      <w:pPr>
        <w:ind w:left="360"/>
        <w:jc w:val="both"/>
        <w:rPr>
          <w:sz w:val="24"/>
          <w:szCs w:val="24"/>
        </w:rPr>
      </w:pPr>
      <w:r w:rsidRPr="00247341">
        <w:rPr>
          <w:sz w:val="24"/>
          <w:szCs w:val="24"/>
        </w:rPr>
        <w:t>The Group has four reportable segments, namely automotive, timber, property development and others which involved in Group-level corporate services, treasury functions and investments in marketable securities, which are the Group’s strategic business units. The strategic business units offer different products and services, and are managed separately.</w:t>
      </w:r>
    </w:p>
    <w:p w:rsidR="00937FDC" w:rsidRPr="00247341" w:rsidRDefault="00937FDC" w:rsidP="00937FDC">
      <w:pPr>
        <w:jc w:val="both"/>
      </w:pPr>
    </w:p>
    <w:p w:rsidR="00937FDC" w:rsidRDefault="00FD1310" w:rsidP="00937FDC">
      <w:pPr>
        <w:ind w:left="360"/>
        <w:jc w:val="both"/>
        <w:rPr>
          <w:sz w:val="24"/>
          <w:szCs w:val="24"/>
        </w:rPr>
      </w:pPr>
      <w:r w:rsidRPr="00247341">
        <w:rPr>
          <w:sz w:val="24"/>
          <w:szCs w:val="24"/>
        </w:rPr>
        <w:object w:dxaOrig="15183" w:dyaOrig="3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165pt" o:ole="">
            <v:imagedata r:id="rId9" o:title=""/>
          </v:shape>
          <o:OLEObject Type="Embed" ProgID="Excel.Sheet.8" ShapeID="_x0000_i1025" DrawAspect="Content" ObjectID="_1375160990" r:id="rId10"/>
        </w:object>
      </w:r>
    </w:p>
    <w:p w:rsidR="008B31BD" w:rsidRDefault="008B31BD" w:rsidP="00937FDC">
      <w:pPr>
        <w:ind w:left="360"/>
        <w:jc w:val="both"/>
        <w:rPr>
          <w:sz w:val="24"/>
          <w:szCs w:val="24"/>
        </w:rPr>
      </w:pPr>
    </w:p>
    <w:p w:rsidR="008B31BD" w:rsidRPr="00247341" w:rsidRDefault="008B31BD" w:rsidP="00937FDC">
      <w:pPr>
        <w:ind w:left="360"/>
        <w:jc w:val="both"/>
        <w:rPr>
          <w:sz w:val="24"/>
          <w:szCs w:val="24"/>
        </w:rPr>
        <w:sectPr w:rsidR="008B31BD" w:rsidRPr="00247341" w:rsidSect="000E580B">
          <w:type w:val="continuous"/>
          <w:pgSz w:w="16834" w:h="11909" w:orient="landscape" w:code="9"/>
          <w:pgMar w:top="1800" w:right="1440" w:bottom="1800" w:left="720" w:header="720" w:footer="720" w:gutter="0"/>
          <w:cols w:space="720"/>
        </w:sectPr>
      </w:pPr>
    </w:p>
    <w:p w:rsidR="00937FDC" w:rsidRPr="00247341" w:rsidRDefault="00937FDC" w:rsidP="00937FDC">
      <w:pPr>
        <w:pStyle w:val="BodyTextIndent"/>
        <w:rPr>
          <w:sz w:val="16"/>
          <w:szCs w:val="16"/>
        </w:rPr>
      </w:pPr>
    </w:p>
    <w:p w:rsidR="00937FDC" w:rsidRPr="00247341" w:rsidRDefault="00937FDC" w:rsidP="007A0D72">
      <w:pPr>
        <w:pStyle w:val="BodyTextIndent"/>
        <w:numPr>
          <w:ilvl w:val="0"/>
          <w:numId w:val="2"/>
        </w:numPr>
        <w:ind w:left="360"/>
        <w:rPr>
          <w:sz w:val="24"/>
          <w:szCs w:val="24"/>
        </w:rPr>
      </w:pPr>
      <w:r w:rsidRPr="00247341">
        <w:rPr>
          <w:sz w:val="24"/>
          <w:szCs w:val="24"/>
        </w:rPr>
        <w:t>CHANGES IN COMPOSITION OF THE GROUP</w:t>
      </w:r>
    </w:p>
    <w:p w:rsidR="00937FDC" w:rsidRPr="00247341" w:rsidRDefault="00937FDC" w:rsidP="00937FDC">
      <w:pPr>
        <w:pStyle w:val="BodyTextIndent"/>
        <w:rPr>
          <w:sz w:val="16"/>
          <w:szCs w:val="16"/>
        </w:rPr>
      </w:pPr>
    </w:p>
    <w:p w:rsidR="00B373C9" w:rsidRPr="003F3F21" w:rsidRDefault="00B373C9" w:rsidP="00B373C9">
      <w:pPr>
        <w:pStyle w:val="BodyTextIndent"/>
        <w:ind w:left="720" w:right="-288" w:hanging="360"/>
        <w:rPr>
          <w:sz w:val="24"/>
          <w:szCs w:val="24"/>
        </w:rPr>
      </w:pPr>
      <w:r w:rsidRPr="003F3F21">
        <w:rPr>
          <w:sz w:val="24"/>
          <w:szCs w:val="24"/>
        </w:rPr>
        <w:t xml:space="preserve">There were no changes in the composition of the Group for the current quarter ended </w:t>
      </w:r>
    </w:p>
    <w:p w:rsidR="00937FDC" w:rsidRPr="003F3F21" w:rsidRDefault="00B373C9" w:rsidP="00B373C9">
      <w:pPr>
        <w:pStyle w:val="BodyTextIndent"/>
        <w:ind w:left="720" w:right="-288" w:hanging="360"/>
        <w:rPr>
          <w:sz w:val="24"/>
          <w:szCs w:val="24"/>
        </w:rPr>
      </w:pPr>
      <w:r w:rsidRPr="003F3F21">
        <w:rPr>
          <w:sz w:val="24"/>
          <w:szCs w:val="24"/>
        </w:rPr>
        <w:t>30 June 2011.</w:t>
      </w:r>
    </w:p>
    <w:p w:rsidR="00937FDC" w:rsidRPr="00247341" w:rsidRDefault="00937FDC" w:rsidP="00937FDC">
      <w:pPr>
        <w:pStyle w:val="BodyTextIndent"/>
        <w:rPr>
          <w:sz w:val="16"/>
          <w:szCs w:val="16"/>
        </w:rPr>
      </w:pPr>
    </w:p>
    <w:p w:rsidR="00937FDC" w:rsidRPr="00247341" w:rsidRDefault="00937FDC" w:rsidP="007A0D72">
      <w:pPr>
        <w:pStyle w:val="BodyTextIndent"/>
        <w:numPr>
          <w:ilvl w:val="0"/>
          <w:numId w:val="2"/>
        </w:numPr>
        <w:ind w:left="360"/>
        <w:rPr>
          <w:sz w:val="24"/>
          <w:szCs w:val="24"/>
        </w:rPr>
      </w:pPr>
      <w:r w:rsidRPr="00247341">
        <w:rPr>
          <w:sz w:val="24"/>
          <w:szCs w:val="24"/>
        </w:rPr>
        <w:t>CHANGES IN CONTINGENT LIABILITIES OR CONTINGENT ASSETS</w:t>
      </w:r>
    </w:p>
    <w:p w:rsidR="00937FDC" w:rsidRPr="00247341" w:rsidRDefault="00937FDC" w:rsidP="00937FDC">
      <w:pPr>
        <w:pStyle w:val="BodyTextIndent"/>
        <w:rPr>
          <w:sz w:val="16"/>
          <w:szCs w:val="16"/>
        </w:rPr>
      </w:pPr>
    </w:p>
    <w:p w:rsidR="00937FDC" w:rsidRPr="003F3F21" w:rsidRDefault="00937FDC" w:rsidP="00937FDC">
      <w:pPr>
        <w:pStyle w:val="BodyTextIndent"/>
        <w:ind w:right="-288"/>
        <w:rPr>
          <w:sz w:val="24"/>
          <w:szCs w:val="24"/>
        </w:rPr>
      </w:pPr>
      <w:r w:rsidRPr="00247341">
        <w:rPr>
          <w:sz w:val="24"/>
          <w:szCs w:val="24"/>
        </w:rPr>
        <w:t xml:space="preserve">There were no changes in contingent liabilities or contingent assets of the Group </w:t>
      </w:r>
      <w:r w:rsidRPr="003F3F21">
        <w:rPr>
          <w:sz w:val="24"/>
          <w:szCs w:val="24"/>
        </w:rPr>
        <w:t>since the last statement of financial position as at 31</w:t>
      </w:r>
      <w:r w:rsidR="00B373C9" w:rsidRPr="003F3F21">
        <w:rPr>
          <w:sz w:val="24"/>
          <w:szCs w:val="24"/>
        </w:rPr>
        <w:t xml:space="preserve"> March 2011</w:t>
      </w:r>
      <w:r w:rsidRPr="003F3F21">
        <w:rPr>
          <w:sz w:val="24"/>
          <w:szCs w:val="24"/>
        </w:rPr>
        <w:t>.</w:t>
      </w:r>
    </w:p>
    <w:p w:rsidR="00937FDC" w:rsidRPr="003F3F21" w:rsidRDefault="00937FDC" w:rsidP="00937FDC">
      <w:pPr>
        <w:pStyle w:val="BodyTextIndent"/>
        <w:rPr>
          <w:sz w:val="16"/>
          <w:szCs w:val="16"/>
        </w:rPr>
      </w:pPr>
      <w:r w:rsidRPr="003F3F21">
        <w:rPr>
          <w:sz w:val="24"/>
          <w:szCs w:val="24"/>
        </w:rPr>
        <w:t xml:space="preserve"> </w:t>
      </w:r>
    </w:p>
    <w:p w:rsidR="00937FDC" w:rsidRPr="003F3F21" w:rsidRDefault="00937FDC" w:rsidP="007A0D72">
      <w:pPr>
        <w:pStyle w:val="BodyTextIndent"/>
        <w:numPr>
          <w:ilvl w:val="0"/>
          <w:numId w:val="2"/>
        </w:numPr>
        <w:ind w:left="360"/>
        <w:rPr>
          <w:sz w:val="24"/>
          <w:szCs w:val="24"/>
        </w:rPr>
      </w:pPr>
      <w:r w:rsidRPr="003F3F21">
        <w:rPr>
          <w:sz w:val="24"/>
          <w:szCs w:val="24"/>
        </w:rPr>
        <w:t>INTANGIBLE ASSETS</w:t>
      </w:r>
    </w:p>
    <w:p w:rsidR="00937FDC" w:rsidRPr="003F3F21" w:rsidRDefault="00937FDC" w:rsidP="00937FDC">
      <w:pPr>
        <w:pStyle w:val="BodyTextIndent"/>
        <w:rPr>
          <w:sz w:val="16"/>
          <w:szCs w:val="16"/>
        </w:rPr>
      </w:pPr>
    </w:p>
    <w:p w:rsidR="00937FDC" w:rsidRPr="003F3F21" w:rsidRDefault="00937FDC" w:rsidP="00937FDC">
      <w:pPr>
        <w:pStyle w:val="BodyTextIndent"/>
        <w:ind w:right="-288"/>
        <w:rPr>
          <w:sz w:val="24"/>
          <w:szCs w:val="24"/>
        </w:rPr>
      </w:pPr>
      <w:r w:rsidRPr="003F3F21">
        <w:rPr>
          <w:sz w:val="24"/>
          <w:szCs w:val="24"/>
        </w:rPr>
        <w:t xml:space="preserve">This represents the purchase consideration on construction right of the Group. The construction right is a joint venture right held by a subsidiary company to develop a piece of land approximately 44.28 hectares located in Kota </w:t>
      </w:r>
      <w:proofErr w:type="spellStart"/>
      <w:r w:rsidRPr="003F3F21">
        <w:rPr>
          <w:sz w:val="24"/>
          <w:szCs w:val="24"/>
        </w:rPr>
        <w:t>Kinabalu</w:t>
      </w:r>
      <w:proofErr w:type="spellEnd"/>
      <w:r w:rsidRPr="003F3F21">
        <w:rPr>
          <w:sz w:val="24"/>
          <w:szCs w:val="24"/>
        </w:rPr>
        <w:t xml:space="preserve">, Sabah into a mixed residential and commercial </w:t>
      </w:r>
      <w:r w:rsidR="00B373C9" w:rsidRPr="003F3F21">
        <w:rPr>
          <w:sz w:val="24"/>
          <w:szCs w:val="24"/>
        </w:rPr>
        <w:t xml:space="preserve">development. </w:t>
      </w:r>
    </w:p>
    <w:p w:rsidR="00937FDC" w:rsidRPr="003F3F21" w:rsidRDefault="00937FDC" w:rsidP="00937FDC">
      <w:pPr>
        <w:pStyle w:val="BodyTextIndent"/>
        <w:ind w:left="0" w:right="-288"/>
        <w:rPr>
          <w:sz w:val="16"/>
          <w:szCs w:val="16"/>
        </w:rPr>
        <w:sectPr w:rsidR="00937FDC" w:rsidRPr="003F3F21" w:rsidSect="000E580B">
          <w:type w:val="continuous"/>
          <w:pgSz w:w="11909" w:h="16834" w:code="9"/>
          <w:pgMar w:top="1440" w:right="1800" w:bottom="720" w:left="1800" w:header="720" w:footer="720" w:gutter="0"/>
          <w:cols w:space="720"/>
        </w:sectPr>
      </w:pPr>
    </w:p>
    <w:p w:rsidR="00937FDC" w:rsidRPr="003F3F21" w:rsidRDefault="00937FDC" w:rsidP="00937FDC">
      <w:pPr>
        <w:pStyle w:val="BodyTextIndent"/>
        <w:ind w:left="0" w:right="-288"/>
        <w:rPr>
          <w:sz w:val="16"/>
          <w:szCs w:val="16"/>
        </w:rPr>
      </w:pPr>
    </w:p>
    <w:p w:rsidR="00937FDC" w:rsidRPr="003F3F21" w:rsidRDefault="00937FDC" w:rsidP="007A0D72">
      <w:pPr>
        <w:pStyle w:val="BodyTextIndent"/>
        <w:numPr>
          <w:ilvl w:val="0"/>
          <w:numId w:val="2"/>
        </w:numPr>
        <w:ind w:left="360"/>
        <w:rPr>
          <w:sz w:val="24"/>
          <w:szCs w:val="24"/>
        </w:rPr>
      </w:pPr>
      <w:r w:rsidRPr="003F3F21">
        <w:rPr>
          <w:sz w:val="24"/>
          <w:szCs w:val="24"/>
        </w:rPr>
        <w:t>INVESTMENT IN SUBSIDIARY COMPANY</w:t>
      </w:r>
    </w:p>
    <w:p w:rsidR="00937FDC" w:rsidRPr="00247341" w:rsidRDefault="00937FDC" w:rsidP="00937FDC">
      <w:pPr>
        <w:pStyle w:val="BodyTextIndent"/>
        <w:rPr>
          <w:sz w:val="16"/>
          <w:szCs w:val="16"/>
        </w:rPr>
      </w:pPr>
    </w:p>
    <w:p w:rsidR="00937FDC" w:rsidRPr="00247341" w:rsidRDefault="00D944F5" w:rsidP="00937FDC">
      <w:pPr>
        <w:pStyle w:val="BodyTextIndent"/>
        <w:rPr>
          <w:sz w:val="24"/>
          <w:szCs w:val="24"/>
        </w:rPr>
      </w:pPr>
      <w:r>
        <w:rPr>
          <w:sz w:val="24"/>
          <w:szCs w:val="24"/>
        </w:rPr>
        <w:t>In 1</w:t>
      </w:r>
      <w:r w:rsidRPr="00D944F5">
        <w:rPr>
          <w:sz w:val="24"/>
          <w:szCs w:val="24"/>
          <w:vertAlign w:val="superscript"/>
        </w:rPr>
        <w:t>st</w:t>
      </w:r>
      <w:r>
        <w:rPr>
          <w:sz w:val="24"/>
          <w:szCs w:val="24"/>
        </w:rPr>
        <w:t xml:space="preserve"> </w:t>
      </w:r>
      <w:r w:rsidR="00937FDC" w:rsidRPr="00247341">
        <w:rPr>
          <w:sz w:val="24"/>
          <w:szCs w:val="24"/>
        </w:rPr>
        <w:t xml:space="preserve">quarter </w:t>
      </w:r>
      <w:r>
        <w:rPr>
          <w:sz w:val="24"/>
          <w:szCs w:val="24"/>
        </w:rPr>
        <w:t>of the financial</w:t>
      </w:r>
      <w:r w:rsidR="00937FDC" w:rsidRPr="00247341">
        <w:rPr>
          <w:sz w:val="24"/>
          <w:szCs w:val="24"/>
        </w:rPr>
        <w:t xml:space="preserve">, the Company acquired 70% equity interest in </w:t>
      </w:r>
      <w:proofErr w:type="spellStart"/>
      <w:r w:rsidR="00937FDC" w:rsidRPr="00247341">
        <w:rPr>
          <w:sz w:val="24"/>
          <w:szCs w:val="24"/>
        </w:rPr>
        <w:t>Hardie</w:t>
      </w:r>
      <w:proofErr w:type="spellEnd"/>
      <w:r w:rsidR="00937FDC" w:rsidRPr="00247341">
        <w:rPr>
          <w:sz w:val="24"/>
          <w:szCs w:val="24"/>
        </w:rPr>
        <w:t xml:space="preserve"> Development </w:t>
      </w:r>
      <w:proofErr w:type="spellStart"/>
      <w:r w:rsidR="00937FDC" w:rsidRPr="00247341">
        <w:rPr>
          <w:sz w:val="24"/>
          <w:szCs w:val="24"/>
        </w:rPr>
        <w:t>Sdn</w:t>
      </w:r>
      <w:proofErr w:type="spellEnd"/>
      <w:r w:rsidR="00937FDC" w:rsidRPr="00247341">
        <w:rPr>
          <w:sz w:val="24"/>
          <w:szCs w:val="24"/>
        </w:rPr>
        <w:t>. Bhd. for a total cash consideration of RM33</w:t>
      </w:r>
      <w:proofErr w:type="gramStart"/>
      <w:r w:rsidR="00937FDC" w:rsidRPr="00247341">
        <w:rPr>
          <w:sz w:val="24"/>
          <w:szCs w:val="24"/>
        </w:rPr>
        <w:t>,680,000</w:t>
      </w:r>
      <w:proofErr w:type="gramEnd"/>
      <w:r w:rsidR="00937FDC" w:rsidRPr="00247341">
        <w:rPr>
          <w:sz w:val="24"/>
          <w:szCs w:val="24"/>
        </w:rPr>
        <w:t xml:space="preserve"> shown as intangible asset.</w:t>
      </w:r>
    </w:p>
    <w:p w:rsidR="00937FDC" w:rsidRPr="00247341" w:rsidRDefault="00937FDC" w:rsidP="00937FDC">
      <w:pPr>
        <w:pStyle w:val="BodyTextIndent"/>
        <w:rPr>
          <w:sz w:val="24"/>
          <w:szCs w:val="24"/>
        </w:rPr>
      </w:pPr>
    </w:p>
    <w:p w:rsidR="00937FDC" w:rsidRDefault="00937FDC" w:rsidP="00937FDC">
      <w:pPr>
        <w:pStyle w:val="BodyTextIndent"/>
        <w:rPr>
          <w:sz w:val="24"/>
          <w:szCs w:val="24"/>
        </w:rPr>
      </w:pPr>
      <w:r w:rsidRPr="00247341">
        <w:rPr>
          <w:sz w:val="24"/>
          <w:szCs w:val="24"/>
        </w:rPr>
        <w:t>The fair values of the identifiable assets and liabilities of the newly acquired subsidiary company as at the date of acquisition were:</w:t>
      </w:r>
    </w:p>
    <w:p w:rsidR="00937FDC" w:rsidRDefault="00937FDC" w:rsidP="00937FDC">
      <w:pPr>
        <w:pStyle w:val="BodyTextIndent"/>
        <w:rPr>
          <w:sz w:val="24"/>
          <w:szCs w:val="24"/>
        </w:rPr>
      </w:pPr>
    </w:p>
    <w:p w:rsidR="00937FDC" w:rsidRDefault="00937FDC" w:rsidP="00937FDC">
      <w:pPr>
        <w:pStyle w:val="BodyTextIndent"/>
        <w:rPr>
          <w:sz w:val="24"/>
          <w:szCs w:val="24"/>
        </w:rPr>
      </w:pPr>
      <w:r w:rsidRPr="00B56408">
        <w:rPr>
          <w:sz w:val="24"/>
          <w:szCs w:val="24"/>
        </w:rPr>
        <w:object w:dxaOrig="8063" w:dyaOrig="4086">
          <v:shape id="_x0000_i1026" type="#_x0000_t75" style="width:403.5pt;height:204pt" o:ole="">
            <v:imagedata r:id="rId11" o:title=""/>
          </v:shape>
          <o:OLEObject Type="Embed" ProgID="Excel.Sheet.12" ShapeID="_x0000_i1026" DrawAspect="Content" ObjectID="_1375160991" r:id="rId12"/>
        </w:object>
      </w:r>
    </w:p>
    <w:p w:rsidR="00937FDC" w:rsidRDefault="00937FDC" w:rsidP="00937FDC">
      <w:pPr>
        <w:pStyle w:val="BodyTextIndent"/>
        <w:rPr>
          <w:sz w:val="24"/>
          <w:szCs w:val="24"/>
        </w:rPr>
      </w:pPr>
      <w:r w:rsidRPr="00247341">
        <w:rPr>
          <w:sz w:val="24"/>
          <w:szCs w:val="24"/>
        </w:rPr>
        <w:t>The effect of the acquisition on cash flows is as follows:</w:t>
      </w:r>
    </w:p>
    <w:p w:rsidR="00937FDC" w:rsidRDefault="00937FDC" w:rsidP="00937FDC">
      <w:pPr>
        <w:pStyle w:val="BodyTextIndent"/>
        <w:rPr>
          <w:sz w:val="24"/>
          <w:szCs w:val="24"/>
        </w:rPr>
      </w:pPr>
    </w:p>
    <w:p w:rsidR="00937FDC" w:rsidRDefault="00367040" w:rsidP="00937FDC">
      <w:pPr>
        <w:pStyle w:val="BodyTextIndent"/>
        <w:rPr>
          <w:sz w:val="24"/>
          <w:szCs w:val="24"/>
        </w:rPr>
      </w:pPr>
      <w:r w:rsidRPr="00B56408">
        <w:rPr>
          <w:sz w:val="24"/>
          <w:szCs w:val="24"/>
        </w:rPr>
        <w:object w:dxaOrig="8080" w:dyaOrig="1181">
          <v:shape id="_x0000_i1027" type="#_x0000_t75" style="width:404.25pt;height:59.25pt" o:ole="">
            <v:imagedata r:id="rId13" o:title=""/>
          </v:shape>
          <o:OLEObject Type="Embed" ProgID="Excel.Sheet.12" ShapeID="_x0000_i1027" DrawAspect="Content" ObjectID="_1375160992" r:id="rId14"/>
        </w:object>
      </w:r>
    </w:p>
    <w:p w:rsidR="00F22CFE" w:rsidRDefault="00F22CFE" w:rsidP="00937FDC">
      <w:pPr>
        <w:pStyle w:val="BodyTextIndent"/>
        <w:rPr>
          <w:sz w:val="24"/>
          <w:szCs w:val="24"/>
        </w:rPr>
      </w:pPr>
    </w:p>
    <w:p w:rsidR="00F22CFE" w:rsidRDefault="00F22CFE" w:rsidP="00937FDC">
      <w:pPr>
        <w:pStyle w:val="BodyTextIndent"/>
        <w:rPr>
          <w:sz w:val="24"/>
          <w:szCs w:val="24"/>
        </w:rPr>
      </w:pPr>
    </w:p>
    <w:p w:rsidR="00F22CFE" w:rsidRDefault="00F22CFE" w:rsidP="00937FDC">
      <w:pPr>
        <w:pStyle w:val="BodyTextIndent"/>
        <w:rPr>
          <w:sz w:val="24"/>
          <w:szCs w:val="24"/>
        </w:rPr>
      </w:pPr>
    </w:p>
    <w:p w:rsidR="00F22CFE" w:rsidRDefault="00F22CFE" w:rsidP="00937FDC">
      <w:pPr>
        <w:pStyle w:val="BodyTextIndent"/>
        <w:rPr>
          <w:sz w:val="24"/>
          <w:szCs w:val="24"/>
        </w:rPr>
      </w:pPr>
    </w:p>
    <w:p w:rsidR="00F22CFE" w:rsidRDefault="00F22CFE" w:rsidP="00937FDC">
      <w:pPr>
        <w:pStyle w:val="BodyTextIndent"/>
        <w:rPr>
          <w:sz w:val="24"/>
          <w:szCs w:val="24"/>
        </w:rPr>
      </w:pPr>
    </w:p>
    <w:p w:rsidR="00937FDC" w:rsidRDefault="00937FDC" w:rsidP="00937FDC">
      <w:pPr>
        <w:pStyle w:val="BodyTextIndent"/>
        <w:rPr>
          <w:sz w:val="24"/>
          <w:szCs w:val="24"/>
        </w:rPr>
      </w:pPr>
      <w:r w:rsidRPr="00247341">
        <w:rPr>
          <w:sz w:val="24"/>
          <w:szCs w:val="24"/>
        </w:rPr>
        <w:t>Goodwill arising from acquisition</w:t>
      </w:r>
    </w:p>
    <w:p w:rsidR="00367040" w:rsidRDefault="00367040" w:rsidP="00937FDC">
      <w:pPr>
        <w:pStyle w:val="BodyTextIndent"/>
        <w:rPr>
          <w:sz w:val="24"/>
          <w:szCs w:val="24"/>
        </w:rPr>
      </w:pPr>
    </w:p>
    <w:p w:rsidR="00367040" w:rsidRDefault="00367040" w:rsidP="00937FDC">
      <w:pPr>
        <w:pStyle w:val="BodyTextIndent"/>
        <w:rPr>
          <w:sz w:val="24"/>
          <w:szCs w:val="24"/>
        </w:rPr>
      </w:pPr>
      <w:r w:rsidRPr="00B56408">
        <w:rPr>
          <w:sz w:val="24"/>
          <w:szCs w:val="24"/>
        </w:rPr>
        <w:object w:dxaOrig="8080" w:dyaOrig="1763">
          <v:shape id="_x0000_i1028" type="#_x0000_t75" style="width:404.25pt;height:88.5pt" o:ole="">
            <v:imagedata r:id="rId15" o:title=""/>
          </v:shape>
          <o:OLEObject Type="Embed" ProgID="Excel.Sheet.12" ShapeID="_x0000_i1028" DrawAspect="Content" ObjectID="_1375160993" r:id="rId16"/>
        </w:object>
      </w:r>
    </w:p>
    <w:p w:rsidR="00937FDC" w:rsidRPr="00247341" w:rsidRDefault="00937FDC" w:rsidP="00937FDC">
      <w:pPr>
        <w:pStyle w:val="BodyTextIndent"/>
        <w:rPr>
          <w:sz w:val="24"/>
          <w:szCs w:val="24"/>
          <w:u w:val="single"/>
        </w:rPr>
      </w:pPr>
      <w:r w:rsidRPr="00247341">
        <w:rPr>
          <w:sz w:val="24"/>
          <w:szCs w:val="24"/>
          <w:u w:val="single"/>
        </w:rPr>
        <w:t>Impact of acquisition in statement of comprehensive income</w:t>
      </w:r>
    </w:p>
    <w:p w:rsidR="00937FDC" w:rsidRPr="00247341" w:rsidRDefault="00937FDC" w:rsidP="00937FDC">
      <w:pPr>
        <w:pStyle w:val="BodyTextIndent"/>
        <w:rPr>
          <w:sz w:val="24"/>
          <w:szCs w:val="24"/>
        </w:rPr>
      </w:pPr>
    </w:p>
    <w:p w:rsidR="00937FDC" w:rsidRPr="00247341" w:rsidRDefault="00937FDC" w:rsidP="00937FDC">
      <w:pPr>
        <w:pStyle w:val="BodyTextIndent"/>
        <w:rPr>
          <w:i/>
          <w:sz w:val="24"/>
          <w:szCs w:val="24"/>
        </w:rPr>
      </w:pPr>
      <w:r w:rsidRPr="00247341">
        <w:rPr>
          <w:sz w:val="24"/>
          <w:szCs w:val="24"/>
        </w:rPr>
        <w:t xml:space="preserve">From the date of acquisition, the newly acquired subsidiary had no impact to the Group’s </w:t>
      </w:r>
      <w:r w:rsidR="00367040">
        <w:rPr>
          <w:sz w:val="24"/>
          <w:szCs w:val="24"/>
        </w:rPr>
        <w:t>profit</w:t>
      </w:r>
      <w:proofErr w:type="gramStart"/>
      <w:r w:rsidR="00954528">
        <w:rPr>
          <w:sz w:val="24"/>
          <w:szCs w:val="24"/>
        </w:rPr>
        <w:t>/(</w:t>
      </w:r>
      <w:proofErr w:type="gramEnd"/>
      <w:r w:rsidR="00954528">
        <w:rPr>
          <w:sz w:val="24"/>
          <w:szCs w:val="24"/>
        </w:rPr>
        <w:t>loss)</w:t>
      </w:r>
      <w:r w:rsidRPr="00247341">
        <w:rPr>
          <w:sz w:val="24"/>
          <w:szCs w:val="24"/>
        </w:rPr>
        <w:t xml:space="preserve"> net of tax. </w:t>
      </w:r>
    </w:p>
    <w:p w:rsidR="00937FDC" w:rsidRPr="00247341" w:rsidRDefault="00937FDC" w:rsidP="00937FDC">
      <w:pPr>
        <w:pStyle w:val="BodyTextIndent"/>
        <w:ind w:left="0"/>
        <w:rPr>
          <w:i/>
          <w:sz w:val="24"/>
          <w:szCs w:val="24"/>
        </w:rPr>
      </w:pPr>
    </w:p>
    <w:p w:rsidR="00937FDC" w:rsidRPr="00247341" w:rsidRDefault="00937FDC" w:rsidP="00937FDC">
      <w:pPr>
        <w:pStyle w:val="BodyTextIndent"/>
        <w:ind w:left="0"/>
        <w:rPr>
          <w:i/>
          <w:sz w:val="24"/>
          <w:szCs w:val="24"/>
        </w:rPr>
      </w:pPr>
    </w:p>
    <w:p w:rsidR="00937FDC" w:rsidRPr="00247341" w:rsidRDefault="00937FDC" w:rsidP="00937FDC">
      <w:pPr>
        <w:pStyle w:val="BodyTextIndent"/>
        <w:ind w:left="0"/>
        <w:rPr>
          <w:i/>
          <w:sz w:val="24"/>
          <w:szCs w:val="24"/>
        </w:rPr>
      </w:pPr>
      <w:r w:rsidRPr="00247341">
        <w:rPr>
          <w:i/>
          <w:sz w:val="24"/>
          <w:szCs w:val="24"/>
        </w:rPr>
        <w:t>PART B – EXPLANATORY NOTES PURSUANT TO APPENDIX 9B OF THE LISTING REQUIREMENTS OF BURSA MALAYSIA SECURITIES BERHAD</w:t>
      </w:r>
    </w:p>
    <w:p w:rsidR="00937FDC" w:rsidRPr="00247341" w:rsidRDefault="00937FDC" w:rsidP="00937FDC">
      <w:pPr>
        <w:pStyle w:val="BodyTextIndent"/>
        <w:ind w:left="0"/>
        <w:rPr>
          <w:sz w:val="24"/>
          <w:szCs w:val="24"/>
        </w:rPr>
      </w:pPr>
    </w:p>
    <w:p w:rsidR="00937FDC" w:rsidRPr="00247341" w:rsidRDefault="00937FDC" w:rsidP="00937FDC">
      <w:pPr>
        <w:pStyle w:val="BodyTextIndent"/>
        <w:tabs>
          <w:tab w:val="left" w:pos="360"/>
        </w:tabs>
        <w:ind w:hanging="360"/>
        <w:rPr>
          <w:sz w:val="24"/>
          <w:szCs w:val="24"/>
        </w:rPr>
      </w:pPr>
      <w:r w:rsidRPr="00247341">
        <w:rPr>
          <w:sz w:val="24"/>
          <w:szCs w:val="24"/>
        </w:rPr>
        <w:t>16. REVIEW OF PERFORMANCE</w:t>
      </w:r>
    </w:p>
    <w:p w:rsidR="00937FDC" w:rsidRPr="00247341" w:rsidRDefault="00937FDC" w:rsidP="00937FDC">
      <w:pPr>
        <w:pStyle w:val="BodyTextIndent"/>
        <w:rPr>
          <w:sz w:val="16"/>
          <w:szCs w:val="16"/>
        </w:rPr>
      </w:pPr>
    </w:p>
    <w:p w:rsidR="00937FDC" w:rsidRPr="003F3F21" w:rsidRDefault="00937FDC" w:rsidP="00937FDC">
      <w:pPr>
        <w:pStyle w:val="BodyTextIndent"/>
        <w:ind w:right="-288"/>
        <w:rPr>
          <w:sz w:val="24"/>
          <w:szCs w:val="24"/>
        </w:rPr>
      </w:pPr>
      <w:r w:rsidRPr="00F20047">
        <w:rPr>
          <w:sz w:val="24"/>
          <w:szCs w:val="24"/>
        </w:rPr>
        <w:t>The Group’s revenue for the current quarter ended 3</w:t>
      </w:r>
      <w:r w:rsidR="005A0DCD" w:rsidRPr="00F20047">
        <w:rPr>
          <w:sz w:val="24"/>
          <w:szCs w:val="24"/>
        </w:rPr>
        <w:t>0th</w:t>
      </w:r>
      <w:r w:rsidRPr="00F20047">
        <w:rPr>
          <w:sz w:val="24"/>
          <w:szCs w:val="24"/>
        </w:rPr>
        <w:t xml:space="preserve"> </w:t>
      </w:r>
      <w:r w:rsidR="005A0DCD" w:rsidRPr="00F20047">
        <w:rPr>
          <w:sz w:val="24"/>
          <w:szCs w:val="24"/>
        </w:rPr>
        <w:t>June</w:t>
      </w:r>
      <w:r w:rsidRPr="00F20047">
        <w:rPr>
          <w:sz w:val="24"/>
          <w:szCs w:val="24"/>
        </w:rPr>
        <w:t xml:space="preserve"> 2011 increased to RM4</w:t>
      </w:r>
      <w:r w:rsidR="005A0DCD" w:rsidRPr="00F20047">
        <w:rPr>
          <w:sz w:val="24"/>
          <w:szCs w:val="24"/>
        </w:rPr>
        <w:t>6</w:t>
      </w:r>
      <w:r w:rsidRPr="00F20047">
        <w:rPr>
          <w:sz w:val="24"/>
          <w:szCs w:val="24"/>
        </w:rPr>
        <w:t>.</w:t>
      </w:r>
      <w:r w:rsidR="005A0DCD" w:rsidRPr="00F20047">
        <w:rPr>
          <w:sz w:val="24"/>
          <w:szCs w:val="24"/>
        </w:rPr>
        <w:t>67</w:t>
      </w:r>
      <w:r w:rsidRPr="00F20047">
        <w:rPr>
          <w:sz w:val="24"/>
          <w:szCs w:val="24"/>
        </w:rPr>
        <w:t xml:space="preserve"> million from RM</w:t>
      </w:r>
      <w:r w:rsidR="005A0DCD" w:rsidRPr="00F20047">
        <w:rPr>
          <w:sz w:val="24"/>
          <w:szCs w:val="24"/>
        </w:rPr>
        <w:t>29.88</w:t>
      </w:r>
      <w:r w:rsidRPr="00F20047">
        <w:rPr>
          <w:sz w:val="24"/>
          <w:szCs w:val="24"/>
        </w:rPr>
        <w:t xml:space="preserve"> million in the quarter ended 3</w:t>
      </w:r>
      <w:r w:rsidR="005A0DCD" w:rsidRPr="00F20047">
        <w:rPr>
          <w:sz w:val="24"/>
          <w:szCs w:val="24"/>
        </w:rPr>
        <w:t>0th</w:t>
      </w:r>
      <w:r w:rsidRPr="00F20047">
        <w:rPr>
          <w:sz w:val="24"/>
          <w:szCs w:val="24"/>
        </w:rPr>
        <w:t xml:space="preserve"> </w:t>
      </w:r>
      <w:r w:rsidR="005A0DCD" w:rsidRPr="00F20047">
        <w:rPr>
          <w:sz w:val="24"/>
          <w:szCs w:val="24"/>
        </w:rPr>
        <w:t>June</w:t>
      </w:r>
      <w:r w:rsidRPr="00F20047">
        <w:rPr>
          <w:sz w:val="24"/>
          <w:szCs w:val="24"/>
        </w:rPr>
        <w:t xml:space="preserve"> 2010 while the current quarter recorded a pre-tax </w:t>
      </w:r>
      <w:r w:rsidR="005A0DCD" w:rsidRPr="00F20047">
        <w:rPr>
          <w:sz w:val="24"/>
          <w:szCs w:val="24"/>
        </w:rPr>
        <w:t>loss</w:t>
      </w:r>
      <w:r w:rsidRPr="00F20047">
        <w:rPr>
          <w:sz w:val="24"/>
          <w:szCs w:val="24"/>
        </w:rPr>
        <w:t xml:space="preserve"> of RM0.</w:t>
      </w:r>
      <w:r w:rsidR="005A0DCD" w:rsidRPr="00F20047">
        <w:rPr>
          <w:sz w:val="24"/>
          <w:szCs w:val="24"/>
        </w:rPr>
        <w:t>56</w:t>
      </w:r>
      <w:r w:rsidRPr="00F20047">
        <w:rPr>
          <w:sz w:val="24"/>
          <w:szCs w:val="24"/>
        </w:rPr>
        <w:t xml:space="preserve"> million when compared to a </w:t>
      </w:r>
      <w:r w:rsidRPr="003F3F21">
        <w:rPr>
          <w:sz w:val="24"/>
          <w:szCs w:val="24"/>
        </w:rPr>
        <w:t xml:space="preserve">pre-tax </w:t>
      </w:r>
      <w:r w:rsidR="005A0DCD" w:rsidRPr="003F3F21">
        <w:rPr>
          <w:sz w:val="24"/>
          <w:szCs w:val="24"/>
        </w:rPr>
        <w:t>loss</w:t>
      </w:r>
      <w:r w:rsidRPr="003F3F21">
        <w:rPr>
          <w:sz w:val="24"/>
          <w:szCs w:val="24"/>
        </w:rPr>
        <w:t xml:space="preserve"> of RM0.</w:t>
      </w:r>
      <w:r w:rsidR="005A0DCD" w:rsidRPr="003F3F21">
        <w:rPr>
          <w:sz w:val="24"/>
          <w:szCs w:val="24"/>
        </w:rPr>
        <w:t>70</w:t>
      </w:r>
      <w:r w:rsidRPr="003F3F21">
        <w:rPr>
          <w:sz w:val="24"/>
          <w:szCs w:val="24"/>
        </w:rPr>
        <w:t xml:space="preserve"> million in the corresponding financial period.</w:t>
      </w:r>
    </w:p>
    <w:p w:rsidR="00937FDC" w:rsidRPr="003F3F21" w:rsidRDefault="00937FDC" w:rsidP="00937FDC">
      <w:pPr>
        <w:pStyle w:val="BodyTextIndent"/>
        <w:ind w:right="-288"/>
        <w:rPr>
          <w:sz w:val="16"/>
          <w:szCs w:val="16"/>
        </w:rPr>
      </w:pPr>
    </w:p>
    <w:p w:rsidR="00937FDC" w:rsidRPr="003F3F21" w:rsidRDefault="00937FDC" w:rsidP="00937FDC">
      <w:pPr>
        <w:pStyle w:val="BodyTextIndent"/>
        <w:ind w:right="-288"/>
        <w:rPr>
          <w:sz w:val="24"/>
          <w:szCs w:val="24"/>
        </w:rPr>
      </w:pPr>
      <w:r w:rsidRPr="003F3F21">
        <w:rPr>
          <w:sz w:val="24"/>
          <w:szCs w:val="24"/>
        </w:rPr>
        <w:t>The increase in revenue for the current quarter ended 3</w:t>
      </w:r>
      <w:r w:rsidR="005A0DCD" w:rsidRPr="003F3F21">
        <w:rPr>
          <w:sz w:val="24"/>
          <w:szCs w:val="24"/>
        </w:rPr>
        <w:t>0th</w:t>
      </w:r>
      <w:r w:rsidRPr="003F3F21">
        <w:rPr>
          <w:sz w:val="24"/>
          <w:szCs w:val="24"/>
        </w:rPr>
        <w:t xml:space="preserve"> </w:t>
      </w:r>
      <w:r w:rsidR="005A0DCD" w:rsidRPr="003F3F21">
        <w:rPr>
          <w:sz w:val="24"/>
          <w:szCs w:val="24"/>
        </w:rPr>
        <w:t>June</w:t>
      </w:r>
      <w:r w:rsidRPr="003F3F21">
        <w:rPr>
          <w:sz w:val="24"/>
          <w:szCs w:val="24"/>
        </w:rPr>
        <w:t xml:space="preserve"> 2011 as compared to the </w:t>
      </w:r>
      <w:r w:rsidR="002965DA" w:rsidRPr="003F3F21">
        <w:rPr>
          <w:sz w:val="24"/>
          <w:szCs w:val="24"/>
        </w:rPr>
        <w:t>corresponding</w:t>
      </w:r>
      <w:r w:rsidRPr="003F3F21">
        <w:rPr>
          <w:sz w:val="24"/>
          <w:szCs w:val="24"/>
        </w:rPr>
        <w:t xml:space="preserve"> year financial quarter ended 3</w:t>
      </w:r>
      <w:r w:rsidR="005A0DCD" w:rsidRPr="003F3F21">
        <w:rPr>
          <w:sz w:val="24"/>
          <w:szCs w:val="24"/>
        </w:rPr>
        <w:t>0th</w:t>
      </w:r>
      <w:r w:rsidRPr="003F3F21">
        <w:rPr>
          <w:sz w:val="24"/>
          <w:szCs w:val="24"/>
        </w:rPr>
        <w:t xml:space="preserve"> </w:t>
      </w:r>
      <w:r w:rsidR="005A0DCD" w:rsidRPr="003F3F21">
        <w:rPr>
          <w:sz w:val="24"/>
          <w:szCs w:val="24"/>
        </w:rPr>
        <w:t>June</w:t>
      </w:r>
      <w:r w:rsidRPr="003F3F21">
        <w:rPr>
          <w:sz w:val="24"/>
          <w:szCs w:val="24"/>
        </w:rPr>
        <w:t xml:space="preserve"> 2010 was mainly due to the</w:t>
      </w:r>
      <w:r w:rsidR="00083940" w:rsidRPr="003F3F21">
        <w:rPr>
          <w:sz w:val="24"/>
          <w:szCs w:val="24"/>
        </w:rPr>
        <w:t xml:space="preserve"> net effect of </w:t>
      </w:r>
      <w:r w:rsidR="002965DA" w:rsidRPr="003F3F21">
        <w:rPr>
          <w:sz w:val="24"/>
          <w:szCs w:val="24"/>
        </w:rPr>
        <w:t xml:space="preserve">an </w:t>
      </w:r>
      <w:r w:rsidR="00083940" w:rsidRPr="003F3F21">
        <w:rPr>
          <w:sz w:val="24"/>
          <w:szCs w:val="24"/>
        </w:rPr>
        <w:t xml:space="preserve">increased in </w:t>
      </w:r>
      <w:r w:rsidRPr="003F3F21">
        <w:rPr>
          <w:sz w:val="24"/>
          <w:szCs w:val="24"/>
        </w:rPr>
        <w:t xml:space="preserve">sales of Volkswagen motor vehicles </w:t>
      </w:r>
      <w:r w:rsidR="002965DA" w:rsidRPr="003F3F21">
        <w:rPr>
          <w:sz w:val="24"/>
          <w:szCs w:val="24"/>
        </w:rPr>
        <w:t>by RM31.00 million with</w:t>
      </w:r>
      <w:r w:rsidR="00083940" w:rsidRPr="003F3F21">
        <w:rPr>
          <w:sz w:val="24"/>
          <w:szCs w:val="24"/>
        </w:rPr>
        <w:t xml:space="preserve"> </w:t>
      </w:r>
      <w:r w:rsidR="002965DA" w:rsidRPr="003F3F21">
        <w:rPr>
          <w:sz w:val="24"/>
          <w:szCs w:val="24"/>
        </w:rPr>
        <w:t xml:space="preserve">a </w:t>
      </w:r>
      <w:r w:rsidR="00083940" w:rsidRPr="003F3F21">
        <w:rPr>
          <w:sz w:val="24"/>
          <w:szCs w:val="24"/>
        </w:rPr>
        <w:t xml:space="preserve">decreased in sales of </w:t>
      </w:r>
      <w:proofErr w:type="spellStart"/>
      <w:r w:rsidR="00083940" w:rsidRPr="003F3F21">
        <w:rPr>
          <w:sz w:val="24"/>
          <w:szCs w:val="24"/>
        </w:rPr>
        <w:t>Chervolet</w:t>
      </w:r>
      <w:proofErr w:type="spellEnd"/>
      <w:r w:rsidR="00083940" w:rsidRPr="003F3F21">
        <w:rPr>
          <w:sz w:val="24"/>
          <w:szCs w:val="24"/>
        </w:rPr>
        <w:t xml:space="preserve"> motor vehicles and timber logs by RM7.75 million </w:t>
      </w:r>
      <w:r w:rsidR="002965DA" w:rsidRPr="003F3F21">
        <w:rPr>
          <w:sz w:val="24"/>
          <w:szCs w:val="24"/>
        </w:rPr>
        <w:t>against</w:t>
      </w:r>
      <w:r w:rsidR="00083940" w:rsidRPr="003F3F21">
        <w:rPr>
          <w:sz w:val="24"/>
          <w:szCs w:val="24"/>
        </w:rPr>
        <w:t xml:space="preserve"> RM7.05 million respectively </w:t>
      </w:r>
      <w:r w:rsidRPr="003F3F21">
        <w:rPr>
          <w:sz w:val="24"/>
          <w:szCs w:val="24"/>
        </w:rPr>
        <w:t xml:space="preserve">in the current quarter under review. </w:t>
      </w:r>
    </w:p>
    <w:p w:rsidR="00083940" w:rsidRPr="003F3F21" w:rsidRDefault="00083940" w:rsidP="00937FDC">
      <w:pPr>
        <w:pStyle w:val="BodyTextIndent"/>
        <w:ind w:right="-288"/>
        <w:rPr>
          <w:sz w:val="16"/>
          <w:szCs w:val="16"/>
        </w:rPr>
      </w:pPr>
    </w:p>
    <w:p w:rsidR="00937FDC" w:rsidRPr="003F3F21" w:rsidRDefault="00937FDC" w:rsidP="00937FDC">
      <w:pPr>
        <w:pStyle w:val="BodyTextIndent"/>
        <w:ind w:right="-288"/>
        <w:rPr>
          <w:sz w:val="24"/>
          <w:szCs w:val="24"/>
        </w:rPr>
      </w:pPr>
      <w:r w:rsidRPr="003F3F21">
        <w:rPr>
          <w:sz w:val="24"/>
          <w:szCs w:val="24"/>
        </w:rPr>
        <w:t xml:space="preserve">The </w:t>
      </w:r>
      <w:r w:rsidR="00083940" w:rsidRPr="003F3F21">
        <w:rPr>
          <w:sz w:val="24"/>
          <w:szCs w:val="24"/>
        </w:rPr>
        <w:t>de</w:t>
      </w:r>
      <w:r w:rsidRPr="003F3F21">
        <w:rPr>
          <w:sz w:val="24"/>
          <w:szCs w:val="24"/>
        </w:rPr>
        <w:t xml:space="preserve">crease in pre-tax </w:t>
      </w:r>
      <w:r w:rsidR="00083940" w:rsidRPr="003F3F21">
        <w:rPr>
          <w:sz w:val="24"/>
          <w:szCs w:val="24"/>
        </w:rPr>
        <w:t>loss</w:t>
      </w:r>
      <w:r w:rsidRPr="003F3F21">
        <w:rPr>
          <w:sz w:val="24"/>
          <w:szCs w:val="24"/>
        </w:rPr>
        <w:t xml:space="preserve"> for the quarter ended 3</w:t>
      </w:r>
      <w:r w:rsidR="00083940" w:rsidRPr="003F3F21">
        <w:rPr>
          <w:sz w:val="24"/>
          <w:szCs w:val="24"/>
        </w:rPr>
        <w:t>0th</w:t>
      </w:r>
      <w:r w:rsidRPr="003F3F21">
        <w:rPr>
          <w:sz w:val="24"/>
          <w:szCs w:val="24"/>
        </w:rPr>
        <w:t xml:space="preserve"> </w:t>
      </w:r>
      <w:r w:rsidR="00083940" w:rsidRPr="003F3F21">
        <w:rPr>
          <w:sz w:val="24"/>
          <w:szCs w:val="24"/>
        </w:rPr>
        <w:t>June</w:t>
      </w:r>
      <w:r w:rsidRPr="003F3F21">
        <w:rPr>
          <w:sz w:val="24"/>
          <w:szCs w:val="24"/>
        </w:rPr>
        <w:t xml:space="preserve"> 2011 compared to the </w:t>
      </w:r>
      <w:r w:rsidR="002965DA" w:rsidRPr="003F3F21">
        <w:rPr>
          <w:sz w:val="24"/>
          <w:szCs w:val="24"/>
        </w:rPr>
        <w:t>corresponding</w:t>
      </w:r>
      <w:r w:rsidR="00083940" w:rsidRPr="003F3F21">
        <w:rPr>
          <w:sz w:val="24"/>
          <w:szCs w:val="24"/>
        </w:rPr>
        <w:t xml:space="preserve"> year financial quarter ended 30th</w:t>
      </w:r>
      <w:r w:rsidRPr="003F3F21">
        <w:rPr>
          <w:sz w:val="24"/>
          <w:szCs w:val="24"/>
        </w:rPr>
        <w:t xml:space="preserve"> </w:t>
      </w:r>
      <w:r w:rsidR="00083940" w:rsidRPr="003F3F21">
        <w:rPr>
          <w:sz w:val="24"/>
          <w:szCs w:val="24"/>
        </w:rPr>
        <w:t>June</w:t>
      </w:r>
      <w:r w:rsidR="002965DA" w:rsidRPr="003F3F21">
        <w:rPr>
          <w:sz w:val="24"/>
          <w:szCs w:val="24"/>
        </w:rPr>
        <w:t xml:space="preserve"> 2010 was mainly due to an </w:t>
      </w:r>
      <w:r w:rsidRPr="003F3F21">
        <w:rPr>
          <w:sz w:val="24"/>
          <w:szCs w:val="24"/>
        </w:rPr>
        <w:t>increase in other income</w:t>
      </w:r>
      <w:r w:rsidR="002E7B8C" w:rsidRPr="003F3F21">
        <w:rPr>
          <w:sz w:val="24"/>
          <w:szCs w:val="24"/>
        </w:rPr>
        <w:t xml:space="preserve"> in respect of </w:t>
      </w:r>
      <w:r w:rsidRPr="003F3F21">
        <w:rPr>
          <w:sz w:val="24"/>
          <w:szCs w:val="24"/>
        </w:rPr>
        <w:t>sales incentives from the Principals.</w:t>
      </w:r>
    </w:p>
    <w:p w:rsidR="00937FDC" w:rsidRPr="003F3F21" w:rsidRDefault="00937FDC" w:rsidP="00937FDC">
      <w:pPr>
        <w:pStyle w:val="BodyTextIndent"/>
        <w:ind w:left="0"/>
        <w:rPr>
          <w:sz w:val="16"/>
          <w:szCs w:val="16"/>
        </w:rPr>
      </w:pPr>
    </w:p>
    <w:p w:rsidR="00937FDC" w:rsidRPr="003F3F21" w:rsidRDefault="00937FDC" w:rsidP="00937FDC">
      <w:pPr>
        <w:pStyle w:val="BodyTextIndent"/>
        <w:tabs>
          <w:tab w:val="left" w:pos="360"/>
        </w:tabs>
        <w:ind w:hanging="360"/>
        <w:rPr>
          <w:sz w:val="24"/>
          <w:szCs w:val="24"/>
        </w:rPr>
      </w:pPr>
      <w:r w:rsidRPr="003F3F21">
        <w:rPr>
          <w:sz w:val="24"/>
          <w:szCs w:val="24"/>
        </w:rPr>
        <w:t xml:space="preserve">17. </w:t>
      </w:r>
      <w:r w:rsidR="002965DA" w:rsidRPr="003F3F21">
        <w:rPr>
          <w:sz w:val="24"/>
          <w:szCs w:val="24"/>
        </w:rPr>
        <w:t xml:space="preserve">COMPARISON WITH IMMEDIATE PRECEDING QUARTER’S RESULTS </w:t>
      </w:r>
    </w:p>
    <w:p w:rsidR="00937FDC" w:rsidRPr="003F3F21" w:rsidRDefault="00937FDC" w:rsidP="00937FDC">
      <w:pPr>
        <w:pStyle w:val="BodyTextIndent"/>
        <w:rPr>
          <w:sz w:val="16"/>
          <w:szCs w:val="16"/>
        </w:rPr>
      </w:pPr>
    </w:p>
    <w:p w:rsidR="00937FDC" w:rsidRPr="003F3F21" w:rsidRDefault="00937FDC" w:rsidP="00937FDC">
      <w:pPr>
        <w:pStyle w:val="BodyTextIndent"/>
        <w:ind w:right="-288"/>
        <w:rPr>
          <w:sz w:val="24"/>
          <w:szCs w:val="24"/>
        </w:rPr>
      </w:pPr>
      <w:r w:rsidRPr="003F3F21">
        <w:rPr>
          <w:sz w:val="24"/>
          <w:szCs w:val="24"/>
        </w:rPr>
        <w:t xml:space="preserve">The Group’s </w:t>
      </w:r>
      <w:r w:rsidR="005003CA" w:rsidRPr="003F3F21">
        <w:rPr>
          <w:sz w:val="24"/>
          <w:szCs w:val="24"/>
        </w:rPr>
        <w:t>loss</w:t>
      </w:r>
      <w:r w:rsidRPr="003F3F21">
        <w:rPr>
          <w:sz w:val="24"/>
          <w:szCs w:val="24"/>
        </w:rPr>
        <w:t xml:space="preserve"> before taxation for the current quarter ended 3</w:t>
      </w:r>
      <w:r w:rsidR="005003CA" w:rsidRPr="003F3F21">
        <w:rPr>
          <w:sz w:val="24"/>
          <w:szCs w:val="24"/>
        </w:rPr>
        <w:t>0th</w:t>
      </w:r>
      <w:r w:rsidRPr="003F3F21">
        <w:rPr>
          <w:sz w:val="24"/>
          <w:szCs w:val="24"/>
        </w:rPr>
        <w:t xml:space="preserve"> </w:t>
      </w:r>
      <w:r w:rsidR="005003CA" w:rsidRPr="003F3F21">
        <w:rPr>
          <w:sz w:val="24"/>
          <w:szCs w:val="24"/>
        </w:rPr>
        <w:t>June</w:t>
      </w:r>
      <w:r w:rsidRPr="003F3F21">
        <w:rPr>
          <w:sz w:val="24"/>
          <w:szCs w:val="24"/>
        </w:rPr>
        <w:t xml:space="preserve"> 2011 of RM</w:t>
      </w:r>
      <w:r w:rsidR="005003CA" w:rsidRPr="003F3F21">
        <w:rPr>
          <w:sz w:val="24"/>
          <w:szCs w:val="24"/>
        </w:rPr>
        <w:t>557</w:t>
      </w:r>
      <w:proofErr w:type="gramStart"/>
      <w:r w:rsidRPr="003F3F21">
        <w:rPr>
          <w:sz w:val="24"/>
          <w:szCs w:val="24"/>
        </w:rPr>
        <w:t>,000</w:t>
      </w:r>
      <w:proofErr w:type="gramEnd"/>
      <w:r w:rsidRPr="003F3F21">
        <w:rPr>
          <w:sz w:val="24"/>
          <w:szCs w:val="24"/>
        </w:rPr>
        <w:t xml:space="preserve"> compared to a </w:t>
      </w:r>
      <w:r w:rsidR="005003CA" w:rsidRPr="003F3F21">
        <w:rPr>
          <w:sz w:val="24"/>
          <w:szCs w:val="24"/>
        </w:rPr>
        <w:t>profit</w:t>
      </w:r>
      <w:r w:rsidRPr="003F3F21">
        <w:rPr>
          <w:sz w:val="24"/>
          <w:szCs w:val="24"/>
        </w:rPr>
        <w:t xml:space="preserve"> before taxation of RM</w:t>
      </w:r>
      <w:r w:rsidR="005003CA" w:rsidRPr="003F3F21">
        <w:rPr>
          <w:sz w:val="24"/>
          <w:szCs w:val="24"/>
        </w:rPr>
        <w:t>530</w:t>
      </w:r>
      <w:r w:rsidRPr="003F3F21">
        <w:rPr>
          <w:sz w:val="24"/>
          <w:szCs w:val="24"/>
        </w:rPr>
        <w:t>,000 in the preceding quarter ended 31</w:t>
      </w:r>
      <w:r w:rsidR="005003CA" w:rsidRPr="003F3F21">
        <w:rPr>
          <w:sz w:val="24"/>
          <w:szCs w:val="24"/>
        </w:rPr>
        <w:t>st</w:t>
      </w:r>
      <w:r w:rsidRPr="003F3F21">
        <w:rPr>
          <w:sz w:val="24"/>
          <w:szCs w:val="24"/>
        </w:rPr>
        <w:t xml:space="preserve"> </w:t>
      </w:r>
      <w:r w:rsidR="005003CA" w:rsidRPr="003F3F21">
        <w:rPr>
          <w:sz w:val="24"/>
          <w:szCs w:val="24"/>
        </w:rPr>
        <w:t>March</w:t>
      </w:r>
      <w:r w:rsidRPr="003F3F21">
        <w:rPr>
          <w:sz w:val="24"/>
          <w:szCs w:val="24"/>
        </w:rPr>
        <w:t xml:space="preserve"> 201</w:t>
      </w:r>
      <w:r w:rsidR="005003CA" w:rsidRPr="003F3F21">
        <w:rPr>
          <w:sz w:val="24"/>
          <w:szCs w:val="24"/>
        </w:rPr>
        <w:t>1</w:t>
      </w:r>
      <w:r w:rsidR="00E873DF" w:rsidRPr="003F3F21">
        <w:rPr>
          <w:sz w:val="24"/>
          <w:szCs w:val="24"/>
        </w:rPr>
        <w:t>, were attributed to lowe</w:t>
      </w:r>
      <w:r w:rsidR="00946777" w:rsidRPr="003F3F21">
        <w:rPr>
          <w:sz w:val="24"/>
          <w:szCs w:val="24"/>
        </w:rPr>
        <w:t>r</w:t>
      </w:r>
      <w:r w:rsidRPr="003F3F21">
        <w:rPr>
          <w:sz w:val="24"/>
          <w:szCs w:val="24"/>
        </w:rPr>
        <w:t xml:space="preserve"> other income</w:t>
      </w:r>
      <w:r w:rsidR="00056CCB" w:rsidRPr="003F3F21">
        <w:rPr>
          <w:sz w:val="24"/>
          <w:szCs w:val="24"/>
        </w:rPr>
        <w:t xml:space="preserve"> against gain</w:t>
      </w:r>
      <w:r w:rsidR="00E873DF" w:rsidRPr="003F3F21">
        <w:rPr>
          <w:sz w:val="24"/>
          <w:szCs w:val="24"/>
        </w:rPr>
        <w:t>s</w:t>
      </w:r>
      <w:r w:rsidR="00056CCB" w:rsidRPr="003F3F21">
        <w:rPr>
          <w:sz w:val="24"/>
          <w:szCs w:val="24"/>
        </w:rPr>
        <w:t xml:space="preserve"> </w:t>
      </w:r>
      <w:r w:rsidR="00E873DF" w:rsidRPr="003F3F21">
        <w:rPr>
          <w:sz w:val="24"/>
          <w:szCs w:val="24"/>
        </w:rPr>
        <w:t xml:space="preserve">arising from the </w:t>
      </w:r>
      <w:r w:rsidR="00056CCB" w:rsidRPr="003F3F21">
        <w:rPr>
          <w:sz w:val="24"/>
          <w:szCs w:val="24"/>
        </w:rPr>
        <w:t>disposal of subsidiary companies of RM1,365,000</w:t>
      </w:r>
      <w:r w:rsidR="00E873DF" w:rsidRPr="003F3F21">
        <w:rPr>
          <w:sz w:val="24"/>
          <w:szCs w:val="24"/>
        </w:rPr>
        <w:t xml:space="preserve"> and</w:t>
      </w:r>
      <w:r w:rsidR="00056CCB" w:rsidRPr="003F3F21">
        <w:rPr>
          <w:sz w:val="24"/>
          <w:szCs w:val="24"/>
        </w:rPr>
        <w:t xml:space="preserve"> </w:t>
      </w:r>
      <w:r w:rsidR="00E873DF" w:rsidRPr="003F3F21">
        <w:rPr>
          <w:sz w:val="24"/>
          <w:szCs w:val="24"/>
        </w:rPr>
        <w:t xml:space="preserve">land premium </w:t>
      </w:r>
      <w:r w:rsidR="00056CCB" w:rsidRPr="003F3F21">
        <w:rPr>
          <w:sz w:val="24"/>
          <w:szCs w:val="24"/>
        </w:rPr>
        <w:t>refund of RM500,000</w:t>
      </w:r>
      <w:r w:rsidRPr="003F3F21">
        <w:rPr>
          <w:sz w:val="24"/>
          <w:szCs w:val="24"/>
        </w:rPr>
        <w:t xml:space="preserve"> </w:t>
      </w:r>
      <w:r w:rsidR="00E873DF" w:rsidRPr="003F3F21">
        <w:rPr>
          <w:sz w:val="24"/>
          <w:szCs w:val="24"/>
        </w:rPr>
        <w:t>recorded in the immediate preceding quarter’s results. The</w:t>
      </w:r>
      <w:r w:rsidR="00F72A26" w:rsidRPr="003F3F21">
        <w:rPr>
          <w:sz w:val="24"/>
          <w:szCs w:val="24"/>
        </w:rPr>
        <w:t xml:space="preserve"> </w:t>
      </w:r>
      <w:r w:rsidR="00E873DF" w:rsidRPr="003F3F21">
        <w:rPr>
          <w:sz w:val="24"/>
          <w:szCs w:val="24"/>
        </w:rPr>
        <w:t xml:space="preserve">higher </w:t>
      </w:r>
      <w:r w:rsidR="00F72A26" w:rsidRPr="003F3F21">
        <w:rPr>
          <w:sz w:val="24"/>
          <w:szCs w:val="24"/>
        </w:rPr>
        <w:t xml:space="preserve">administrative expenses </w:t>
      </w:r>
      <w:r w:rsidR="00B42034" w:rsidRPr="003F3F21">
        <w:rPr>
          <w:sz w:val="24"/>
          <w:szCs w:val="24"/>
        </w:rPr>
        <w:t xml:space="preserve">incurred </w:t>
      </w:r>
      <w:r w:rsidR="000D75D2" w:rsidRPr="003F3F21">
        <w:rPr>
          <w:sz w:val="24"/>
          <w:szCs w:val="24"/>
        </w:rPr>
        <w:t xml:space="preserve">for the current quarter </w:t>
      </w:r>
      <w:r w:rsidR="00B42034" w:rsidRPr="003F3F21">
        <w:rPr>
          <w:sz w:val="24"/>
          <w:szCs w:val="24"/>
        </w:rPr>
        <w:t>w</w:t>
      </w:r>
      <w:r w:rsidR="000D75D2" w:rsidRPr="003F3F21">
        <w:rPr>
          <w:sz w:val="24"/>
          <w:szCs w:val="24"/>
        </w:rPr>
        <w:t xml:space="preserve">ere due to the overhead costs for the property development subsidiary and start-up cost for another vehicle showroom to market “Ford” motor vehicles. </w:t>
      </w:r>
    </w:p>
    <w:p w:rsidR="00937FDC" w:rsidRPr="003F3F21" w:rsidRDefault="00937FDC" w:rsidP="00937FDC">
      <w:pPr>
        <w:pStyle w:val="BodyTextIndent"/>
        <w:ind w:left="0"/>
        <w:rPr>
          <w:sz w:val="16"/>
          <w:szCs w:val="16"/>
        </w:rPr>
      </w:pPr>
    </w:p>
    <w:p w:rsidR="00937FDC" w:rsidRPr="003F3F21" w:rsidRDefault="00937FDC" w:rsidP="00937FDC">
      <w:pPr>
        <w:pStyle w:val="BodyTextIndent"/>
        <w:tabs>
          <w:tab w:val="left" w:pos="360"/>
        </w:tabs>
        <w:ind w:hanging="360"/>
        <w:rPr>
          <w:sz w:val="24"/>
          <w:szCs w:val="24"/>
        </w:rPr>
      </w:pPr>
      <w:r w:rsidRPr="003F3F21">
        <w:rPr>
          <w:sz w:val="24"/>
          <w:szCs w:val="24"/>
        </w:rPr>
        <w:t>18. BUSINESS PROSPECTS</w:t>
      </w:r>
    </w:p>
    <w:p w:rsidR="00937FDC" w:rsidRPr="003F3F21" w:rsidRDefault="00937FDC" w:rsidP="00937FDC">
      <w:pPr>
        <w:pStyle w:val="BodyTextIndent"/>
        <w:rPr>
          <w:sz w:val="16"/>
          <w:szCs w:val="16"/>
        </w:rPr>
      </w:pPr>
    </w:p>
    <w:p w:rsidR="00937FDC" w:rsidRPr="003F3F21" w:rsidRDefault="00937FDC" w:rsidP="00937FDC">
      <w:pPr>
        <w:pStyle w:val="BodyTextIndent"/>
        <w:ind w:right="-288"/>
        <w:rPr>
          <w:sz w:val="24"/>
          <w:szCs w:val="24"/>
        </w:rPr>
      </w:pPr>
      <w:r w:rsidRPr="003F3F21">
        <w:rPr>
          <w:sz w:val="24"/>
          <w:szCs w:val="24"/>
        </w:rPr>
        <w:t xml:space="preserve">The Board of Directors views the </w:t>
      </w:r>
      <w:r w:rsidR="000D75D2" w:rsidRPr="003F3F21">
        <w:rPr>
          <w:sz w:val="24"/>
          <w:szCs w:val="24"/>
        </w:rPr>
        <w:t xml:space="preserve">current financial year to be challenging with intense competition in the </w:t>
      </w:r>
      <w:r w:rsidRPr="003F3F21">
        <w:rPr>
          <w:sz w:val="24"/>
          <w:szCs w:val="24"/>
        </w:rPr>
        <w:t xml:space="preserve">Group’s automotive business </w:t>
      </w:r>
      <w:r w:rsidR="000D75D2" w:rsidRPr="003F3F21">
        <w:rPr>
          <w:sz w:val="24"/>
          <w:szCs w:val="24"/>
        </w:rPr>
        <w:t xml:space="preserve">and the property development activities not expected to contribute during this financial year due to </w:t>
      </w:r>
      <w:proofErr w:type="gramStart"/>
      <w:r w:rsidR="000D75D2" w:rsidRPr="003F3F21">
        <w:rPr>
          <w:sz w:val="24"/>
          <w:szCs w:val="24"/>
        </w:rPr>
        <w:t xml:space="preserve">the </w:t>
      </w:r>
      <w:r w:rsidRPr="003F3F21">
        <w:rPr>
          <w:sz w:val="24"/>
          <w:szCs w:val="24"/>
        </w:rPr>
        <w:t xml:space="preserve"> slow</w:t>
      </w:r>
      <w:proofErr w:type="gramEnd"/>
      <w:r w:rsidRPr="003F3F21">
        <w:rPr>
          <w:sz w:val="24"/>
          <w:szCs w:val="24"/>
        </w:rPr>
        <w:t xml:space="preserve"> earthwork progress affected by the bad weather.</w:t>
      </w:r>
    </w:p>
    <w:p w:rsidR="00937FDC" w:rsidRPr="003F3F21" w:rsidRDefault="00937FDC" w:rsidP="00937FDC">
      <w:pPr>
        <w:pStyle w:val="BodyTextIndent"/>
        <w:ind w:right="-288"/>
        <w:rPr>
          <w:sz w:val="16"/>
          <w:szCs w:val="16"/>
        </w:rPr>
      </w:pPr>
    </w:p>
    <w:p w:rsidR="00937FDC" w:rsidRPr="003F3F21" w:rsidRDefault="00937FDC" w:rsidP="00937FDC">
      <w:pPr>
        <w:pStyle w:val="BodyTextIndent"/>
        <w:tabs>
          <w:tab w:val="left" w:pos="360"/>
        </w:tabs>
        <w:ind w:hanging="360"/>
        <w:rPr>
          <w:sz w:val="24"/>
          <w:szCs w:val="24"/>
        </w:rPr>
      </w:pPr>
      <w:r w:rsidRPr="003F3F21">
        <w:rPr>
          <w:sz w:val="24"/>
          <w:szCs w:val="24"/>
        </w:rPr>
        <w:lastRenderedPageBreak/>
        <w:t>19. PROFIT FORECAST OR PROFIT GUARANTEE</w:t>
      </w:r>
    </w:p>
    <w:p w:rsidR="00937FDC" w:rsidRPr="003F3F21" w:rsidRDefault="00937FDC" w:rsidP="00937FDC">
      <w:pPr>
        <w:pStyle w:val="BodyTextIndent"/>
        <w:rPr>
          <w:sz w:val="16"/>
          <w:szCs w:val="16"/>
        </w:rPr>
      </w:pPr>
    </w:p>
    <w:p w:rsidR="00937FDC" w:rsidRPr="003F3F21" w:rsidRDefault="00937FDC" w:rsidP="00937FDC">
      <w:pPr>
        <w:pStyle w:val="BodyTextIndent"/>
        <w:ind w:right="-288"/>
        <w:rPr>
          <w:sz w:val="24"/>
          <w:szCs w:val="24"/>
        </w:rPr>
      </w:pPr>
      <w:r w:rsidRPr="003F3F21">
        <w:rPr>
          <w:sz w:val="24"/>
          <w:szCs w:val="24"/>
        </w:rPr>
        <w:t>This is not applicable to the financial quarter under review.</w:t>
      </w:r>
    </w:p>
    <w:p w:rsidR="00937FDC" w:rsidRPr="003F3F21" w:rsidRDefault="00937FDC" w:rsidP="00937FDC">
      <w:pPr>
        <w:pStyle w:val="BodyTextIndent"/>
        <w:ind w:left="0"/>
        <w:rPr>
          <w:sz w:val="16"/>
          <w:szCs w:val="16"/>
        </w:rPr>
      </w:pPr>
    </w:p>
    <w:p w:rsidR="00937FDC" w:rsidRPr="003F3F21" w:rsidRDefault="00937FDC" w:rsidP="00937FDC">
      <w:pPr>
        <w:pStyle w:val="BodyTextIndent"/>
        <w:tabs>
          <w:tab w:val="left" w:pos="360"/>
        </w:tabs>
        <w:ind w:hanging="360"/>
        <w:rPr>
          <w:sz w:val="24"/>
          <w:szCs w:val="24"/>
        </w:rPr>
      </w:pPr>
      <w:r w:rsidRPr="003F3F21">
        <w:rPr>
          <w:sz w:val="24"/>
          <w:szCs w:val="24"/>
        </w:rPr>
        <w:t>20. INCOME TAX EXPENSE</w:t>
      </w:r>
    </w:p>
    <w:p w:rsidR="00937FDC" w:rsidRPr="003F3F21" w:rsidRDefault="00937FDC" w:rsidP="00937FDC">
      <w:pPr>
        <w:pStyle w:val="BodyTextIndent"/>
        <w:tabs>
          <w:tab w:val="left" w:pos="360"/>
        </w:tabs>
        <w:ind w:hanging="360"/>
        <w:rPr>
          <w:sz w:val="24"/>
          <w:szCs w:val="24"/>
        </w:rPr>
      </w:pPr>
    </w:p>
    <w:p w:rsidR="00937FDC" w:rsidRPr="003F3F21" w:rsidRDefault="001F0A92" w:rsidP="00937FDC">
      <w:pPr>
        <w:pStyle w:val="BodyTextIndent"/>
        <w:rPr>
          <w:sz w:val="16"/>
          <w:szCs w:val="16"/>
        </w:rPr>
      </w:pPr>
      <w:r w:rsidRPr="003F3F21">
        <w:rPr>
          <w:sz w:val="16"/>
          <w:szCs w:val="16"/>
        </w:rPr>
        <w:object w:dxaOrig="7516" w:dyaOrig="2466">
          <v:shape id="_x0000_i1029" type="#_x0000_t75" style="width:376.5pt;height:123pt" o:ole="">
            <v:imagedata r:id="rId17" o:title=""/>
          </v:shape>
          <o:OLEObject Type="Embed" ProgID="Excel.Sheet.8" ShapeID="_x0000_i1029" DrawAspect="Content" ObjectID="_1375160994" r:id="rId18"/>
        </w:object>
      </w:r>
    </w:p>
    <w:p w:rsidR="00937FDC" w:rsidRPr="003F3F21" w:rsidRDefault="00937FDC" w:rsidP="00937FDC">
      <w:pPr>
        <w:pStyle w:val="BodyTextIndent"/>
        <w:rPr>
          <w:sz w:val="24"/>
          <w:szCs w:val="24"/>
        </w:rPr>
      </w:pPr>
    </w:p>
    <w:p w:rsidR="00937FDC" w:rsidRPr="003F3F21" w:rsidRDefault="00937FDC" w:rsidP="00937FDC">
      <w:pPr>
        <w:pStyle w:val="BodyTextIndent"/>
        <w:rPr>
          <w:sz w:val="24"/>
          <w:szCs w:val="24"/>
        </w:rPr>
      </w:pPr>
    </w:p>
    <w:p w:rsidR="00F72A26" w:rsidRPr="003F3F21" w:rsidRDefault="00F72A26" w:rsidP="00937FDC">
      <w:pPr>
        <w:pStyle w:val="BodyTextIndent"/>
        <w:rPr>
          <w:sz w:val="24"/>
          <w:szCs w:val="24"/>
        </w:rPr>
      </w:pPr>
    </w:p>
    <w:p w:rsidR="00F72A26" w:rsidRPr="003F3F21" w:rsidRDefault="00F72A26" w:rsidP="00937FDC">
      <w:pPr>
        <w:pStyle w:val="BodyTextIndent"/>
        <w:rPr>
          <w:sz w:val="24"/>
          <w:szCs w:val="24"/>
        </w:rPr>
        <w:sectPr w:rsidR="00F72A26" w:rsidRPr="003F3F21" w:rsidSect="000E580B">
          <w:type w:val="continuous"/>
          <w:pgSz w:w="11909" w:h="16834" w:code="9"/>
          <w:pgMar w:top="1440" w:right="1800" w:bottom="720" w:left="1800" w:header="720" w:footer="720" w:gutter="0"/>
          <w:cols w:space="720"/>
        </w:sectPr>
      </w:pPr>
    </w:p>
    <w:p w:rsidR="00937FDC" w:rsidRPr="003F3F21" w:rsidRDefault="00937FDC" w:rsidP="00937FDC">
      <w:pPr>
        <w:pStyle w:val="BodyTextIndent"/>
        <w:rPr>
          <w:sz w:val="16"/>
          <w:szCs w:val="16"/>
        </w:rPr>
      </w:pPr>
    </w:p>
    <w:p w:rsidR="00937FDC" w:rsidRPr="003F3F21" w:rsidRDefault="00937FDC" w:rsidP="00937FDC">
      <w:pPr>
        <w:pStyle w:val="BodyTextIndent"/>
        <w:tabs>
          <w:tab w:val="left" w:pos="360"/>
        </w:tabs>
        <w:ind w:left="0"/>
        <w:rPr>
          <w:sz w:val="24"/>
          <w:szCs w:val="24"/>
        </w:rPr>
      </w:pPr>
      <w:r w:rsidRPr="003F3F21">
        <w:rPr>
          <w:sz w:val="24"/>
          <w:szCs w:val="24"/>
        </w:rPr>
        <w:t>21. SALE OF UNQUOTED INVESTMENTS AND PROPERTIES</w:t>
      </w:r>
    </w:p>
    <w:p w:rsidR="00937FDC" w:rsidRPr="003F3F21" w:rsidRDefault="00937FDC" w:rsidP="00937FDC">
      <w:pPr>
        <w:pStyle w:val="BodyTextIndent"/>
        <w:rPr>
          <w:sz w:val="12"/>
          <w:szCs w:val="12"/>
        </w:rPr>
      </w:pPr>
    </w:p>
    <w:p w:rsidR="00937FDC" w:rsidRPr="003F3F21" w:rsidRDefault="00937FDC" w:rsidP="00937FDC">
      <w:pPr>
        <w:pStyle w:val="BodyTextIndent"/>
        <w:ind w:right="-288"/>
        <w:rPr>
          <w:sz w:val="24"/>
          <w:szCs w:val="24"/>
        </w:rPr>
      </w:pPr>
      <w:r w:rsidRPr="003F3F21">
        <w:rPr>
          <w:sz w:val="24"/>
          <w:szCs w:val="24"/>
        </w:rPr>
        <w:t>There were no sales of unquoted investments and properties for the financial quarter under review.</w:t>
      </w:r>
    </w:p>
    <w:p w:rsidR="00937FDC" w:rsidRPr="003F3F21" w:rsidRDefault="00937FDC" w:rsidP="00937FDC">
      <w:pPr>
        <w:pStyle w:val="BodyTextIndent"/>
        <w:ind w:right="-288"/>
        <w:rPr>
          <w:sz w:val="12"/>
          <w:szCs w:val="12"/>
        </w:rPr>
      </w:pPr>
    </w:p>
    <w:p w:rsidR="00937FDC" w:rsidRPr="003F3F21" w:rsidRDefault="00937FDC" w:rsidP="00937FDC">
      <w:pPr>
        <w:pStyle w:val="BodyTextIndent"/>
        <w:ind w:left="0" w:right="-288"/>
        <w:rPr>
          <w:sz w:val="24"/>
          <w:szCs w:val="24"/>
        </w:rPr>
      </w:pPr>
      <w:r w:rsidRPr="003F3F21">
        <w:rPr>
          <w:sz w:val="24"/>
          <w:szCs w:val="24"/>
        </w:rPr>
        <w:t>22. PURCHASE AND DISPOSAL OF QUOTED SECURITIES</w:t>
      </w:r>
    </w:p>
    <w:p w:rsidR="00937FDC" w:rsidRPr="003F3F21" w:rsidRDefault="00937FDC" w:rsidP="00937FDC">
      <w:pPr>
        <w:pStyle w:val="BodyTextIndent"/>
        <w:tabs>
          <w:tab w:val="left" w:pos="360"/>
        </w:tabs>
        <w:ind w:hanging="360"/>
        <w:rPr>
          <w:sz w:val="12"/>
          <w:szCs w:val="12"/>
        </w:rPr>
      </w:pPr>
    </w:p>
    <w:p w:rsidR="00937FDC" w:rsidRPr="003F3F21" w:rsidRDefault="00937FDC" w:rsidP="00937FDC">
      <w:pPr>
        <w:pStyle w:val="BodyTextIndent"/>
        <w:tabs>
          <w:tab w:val="left" w:pos="360"/>
        </w:tabs>
        <w:ind w:hanging="360"/>
        <w:rPr>
          <w:sz w:val="24"/>
          <w:szCs w:val="24"/>
        </w:rPr>
      </w:pPr>
      <w:r w:rsidRPr="003F3F21">
        <w:rPr>
          <w:sz w:val="24"/>
          <w:szCs w:val="24"/>
        </w:rPr>
        <w:tab/>
        <w:t xml:space="preserve">Details of purchases and disposals of quoted securities are as </w:t>
      </w:r>
      <w:proofErr w:type="gramStart"/>
      <w:r w:rsidRPr="003F3F21">
        <w:rPr>
          <w:sz w:val="24"/>
          <w:szCs w:val="24"/>
        </w:rPr>
        <w:t>follows :</w:t>
      </w:r>
      <w:proofErr w:type="gramEnd"/>
    </w:p>
    <w:p w:rsidR="00937FDC" w:rsidRPr="003F3F21" w:rsidRDefault="00937FDC" w:rsidP="00937FDC">
      <w:pPr>
        <w:pStyle w:val="BodyTextIndent"/>
        <w:tabs>
          <w:tab w:val="left" w:pos="360"/>
        </w:tabs>
        <w:ind w:hanging="360"/>
        <w:rPr>
          <w:sz w:val="12"/>
          <w:szCs w:val="12"/>
        </w:rPr>
      </w:pPr>
    </w:p>
    <w:p w:rsidR="00937FDC" w:rsidRPr="003F3F21" w:rsidRDefault="00056CCB" w:rsidP="00937FDC">
      <w:pPr>
        <w:pStyle w:val="BodyTextIndent"/>
        <w:tabs>
          <w:tab w:val="left" w:pos="360"/>
        </w:tabs>
        <w:rPr>
          <w:szCs w:val="22"/>
        </w:rPr>
      </w:pPr>
      <w:r w:rsidRPr="003F3F21">
        <w:rPr>
          <w:szCs w:val="22"/>
        </w:rPr>
        <w:object w:dxaOrig="7955" w:dyaOrig="1763">
          <v:shape id="_x0000_i1030" type="#_x0000_t75" style="width:365.25pt;height:81pt" o:ole="">
            <v:imagedata r:id="rId19" o:title=""/>
          </v:shape>
          <o:OLEObject Type="Embed" ProgID="Excel.Sheet.8" ShapeID="_x0000_i1030" DrawAspect="Content" ObjectID="_1375160995" r:id="rId20"/>
        </w:object>
      </w:r>
    </w:p>
    <w:p w:rsidR="00937FDC" w:rsidRPr="003F3F21" w:rsidRDefault="00937FDC" w:rsidP="00937FDC">
      <w:pPr>
        <w:pStyle w:val="BodyTextIndent"/>
        <w:tabs>
          <w:tab w:val="left" w:pos="360"/>
        </w:tabs>
        <w:rPr>
          <w:sz w:val="12"/>
          <w:szCs w:val="12"/>
        </w:rPr>
      </w:pPr>
    </w:p>
    <w:p w:rsidR="00937FDC" w:rsidRPr="003F3F21" w:rsidRDefault="00937FDC" w:rsidP="00937FDC">
      <w:pPr>
        <w:pStyle w:val="BodyTextIndent"/>
        <w:tabs>
          <w:tab w:val="left" w:pos="360"/>
        </w:tabs>
        <w:rPr>
          <w:sz w:val="24"/>
          <w:szCs w:val="24"/>
        </w:rPr>
      </w:pPr>
      <w:r w:rsidRPr="003F3F21">
        <w:rPr>
          <w:sz w:val="24"/>
          <w:szCs w:val="24"/>
        </w:rPr>
        <w:t xml:space="preserve">Details of investments in quoted </w:t>
      </w:r>
      <w:proofErr w:type="gramStart"/>
      <w:r w:rsidRPr="003F3F21">
        <w:rPr>
          <w:sz w:val="24"/>
          <w:szCs w:val="24"/>
        </w:rPr>
        <w:t>securities :</w:t>
      </w:r>
      <w:proofErr w:type="gramEnd"/>
    </w:p>
    <w:p w:rsidR="00937FDC" w:rsidRPr="003F3F21" w:rsidRDefault="00937FDC" w:rsidP="00937FDC">
      <w:pPr>
        <w:pStyle w:val="BodyTextIndent"/>
        <w:tabs>
          <w:tab w:val="left" w:pos="360"/>
        </w:tabs>
        <w:rPr>
          <w:sz w:val="12"/>
          <w:szCs w:val="12"/>
        </w:rPr>
      </w:pPr>
    </w:p>
    <w:p w:rsidR="00937FDC" w:rsidRPr="003F3F21" w:rsidRDefault="00E36E5A" w:rsidP="00937FDC">
      <w:pPr>
        <w:pStyle w:val="BodyTextIndent"/>
        <w:tabs>
          <w:tab w:val="left" w:pos="360"/>
        </w:tabs>
        <w:rPr>
          <w:szCs w:val="22"/>
        </w:rPr>
      </w:pPr>
      <w:r w:rsidRPr="003F3F21">
        <w:rPr>
          <w:szCs w:val="22"/>
        </w:rPr>
        <w:object w:dxaOrig="4565" w:dyaOrig="1763">
          <v:shape id="_x0000_i1031" type="#_x0000_t75" style="width:228pt;height:88.5pt" o:ole="">
            <v:imagedata r:id="rId21" o:title=""/>
          </v:shape>
          <o:OLEObject Type="Embed" ProgID="Excel.Sheet.8" ShapeID="_x0000_i1031" DrawAspect="Content" ObjectID="_1375160996" r:id="rId22"/>
        </w:object>
      </w:r>
    </w:p>
    <w:p w:rsidR="00937FDC" w:rsidRPr="003F3F21" w:rsidRDefault="00937FDC" w:rsidP="00937FDC">
      <w:pPr>
        <w:pStyle w:val="BodyTextIndent"/>
        <w:tabs>
          <w:tab w:val="left" w:pos="360"/>
        </w:tabs>
        <w:rPr>
          <w:sz w:val="12"/>
          <w:szCs w:val="12"/>
        </w:rPr>
      </w:pPr>
    </w:p>
    <w:p w:rsidR="002A5967" w:rsidRPr="003F3F21" w:rsidRDefault="002A5967" w:rsidP="00937FDC">
      <w:pPr>
        <w:pStyle w:val="BodyTextIndent"/>
        <w:tabs>
          <w:tab w:val="left" w:pos="360"/>
        </w:tabs>
        <w:ind w:hanging="360"/>
        <w:rPr>
          <w:sz w:val="24"/>
          <w:szCs w:val="24"/>
        </w:rPr>
      </w:pPr>
    </w:p>
    <w:p w:rsidR="00937FDC" w:rsidRPr="003F3F21" w:rsidRDefault="00937FDC" w:rsidP="00937FDC">
      <w:pPr>
        <w:pStyle w:val="BodyTextIndent"/>
        <w:tabs>
          <w:tab w:val="left" w:pos="360"/>
        </w:tabs>
        <w:ind w:hanging="360"/>
        <w:rPr>
          <w:sz w:val="24"/>
          <w:szCs w:val="24"/>
        </w:rPr>
      </w:pPr>
      <w:r w:rsidRPr="003F3F21">
        <w:rPr>
          <w:sz w:val="24"/>
          <w:szCs w:val="24"/>
        </w:rPr>
        <w:t>23. CORPORATE PROPOSALS</w:t>
      </w:r>
    </w:p>
    <w:p w:rsidR="00937FDC" w:rsidRPr="003F3F21" w:rsidRDefault="00937FDC" w:rsidP="00937FDC">
      <w:pPr>
        <w:pStyle w:val="BodyTextIndent"/>
        <w:rPr>
          <w:sz w:val="12"/>
          <w:szCs w:val="12"/>
        </w:rPr>
      </w:pPr>
    </w:p>
    <w:p w:rsidR="00937FDC" w:rsidRPr="003F3F21" w:rsidRDefault="00937FDC" w:rsidP="00937FDC">
      <w:pPr>
        <w:pStyle w:val="BodyTextIndent"/>
        <w:ind w:right="-288"/>
        <w:rPr>
          <w:sz w:val="24"/>
          <w:szCs w:val="24"/>
        </w:rPr>
      </w:pPr>
      <w:r w:rsidRPr="003F3F21">
        <w:rPr>
          <w:sz w:val="24"/>
          <w:szCs w:val="24"/>
        </w:rPr>
        <w:t>There were no corporate proposals announced but not completed as at the date of this announcement.</w:t>
      </w:r>
    </w:p>
    <w:p w:rsidR="00937FDC" w:rsidRPr="003F3F21" w:rsidRDefault="00937FDC" w:rsidP="00937FDC">
      <w:pPr>
        <w:pStyle w:val="BodyTextIndent"/>
        <w:ind w:left="0"/>
        <w:rPr>
          <w:sz w:val="12"/>
          <w:szCs w:val="12"/>
        </w:rPr>
      </w:pPr>
    </w:p>
    <w:p w:rsidR="002A5967" w:rsidRPr="003F3F21" w:rsidRDefault="002A5967" w:rsidP="00937FDC">
      <w:pPr>
        <w:pStyle w:val="BodyTextIndent"/>
        <w:tabs>
          <w:tab w:val="left" w:pos="360"/>
        </w:tabs>
        <w:ind w:hanging="360"/>
        <w:rPr>
          <w:sz w:val="24"/>
          <w:szCs w:val="24"/>
        </w:rPr>
      </w:pPr>
    </w:p>
    <w:p w:rsidR="002A5967" w:rsidRPr="003F3F21" w:rsidRDefault="002A5967" w:rsidP="00937FDC">
      <w:pPr>
        <w:pStyle w:val="BodyTextIndent"/>
        <w:tabs>
          <w:tab w:val="left" w:pos="360"/>
        </w:tabs>
        <w:ind w:hanging="360"/>
        <w:rPr>
          <w:sz w:val="24"/>
          <w:szCs w:val="24"/>
        </w:rPr>
      </w:pPr>
    </w:p>
    <w:p w:rsidR="002A5967" w:rsidRPr="003F3F21" w:rsidRDefault="002A5967" w:rsidP="00937FDC">
      <w:pPr>
        <w:pStyle w:val="BodyTextIndent"/>
        <w:tabs>
          <w:tab w:val="left" w:pos="360"/>
        </w:tabs>
        <w:ind w:hanging="360"/>
        <w:rPr>
          <w:sz w:val="24"/>
          <w:szCs w:val="24"/>
        </w:rPr>
      </w:pPr>
    </w:p>
    <w:p w:rsidR="002A5967" w:rsidRPr="003F3F21" w:rsidRDefault="002A5967" w:rsidP="00937FDC">
      <w:pPr>
        <w:pStyle w:val="BodyTextIndent"/>
        <w:tabs>
          <w:tab w:val="left" w:pos="360"/>
        </w:tabs>
        <w:ind w:hanging="360"/>
        <w:rPr>
          <w:sz w:val="24"/>
          <w:szCs w:val="24"/>
        </w:rPr>
      </w:pPr>
    </w:p>
    <w:p w:rsidR="002A5967" w:rsidRPr="003F3F21" w:rsidRDefault="002A5967" w:rsidP="00937FDC">
      <w:pPr>
        <w:pStyle w:val="BodyTextIndent"/>
        <w:tabs>
          <w:tab w:val="left" w:pos="360"/>
        </w:tabs>
        <w:ind w:hanging="360"/>
        <w:rPr>
          <w:sz w:val="24"/>
          <w:szCs w:val="24"/>
        </w:rPr>
      </w:pPr>
    </w:p>
    <w:p w:rsidR="002A5967" w:rsidRPr="003F3F21" w:rsidRDefault="002A5967" w:rsidP="00937FDC">
      <w:pPr>
        <w:pStyle w:val="BodyTextIndent"/>
        <w:tabs>
          <w:tab w:val="left" w:pos="360"/>
        </w:tabs>
        <w:ind w:hanging="360"/>
        <w:rPr>
          <w:sz w:val="24"/>
          <w:szCs w:val="24"/>
        </w:rPr>
      </w:pPr>
    </w:p>
    <w:p w:rsidR="002A5967" w:rsidRPr="003F3F21" w:rsidRDefault="002A5967" w:rsidP="00937FDC">
      <w:pPr>
        <w:pStyle w:val="BodyTextIndent"/>
        <w:tabs>
          <w:tab w:val="left" w:pos="360"/>
        </w:tabs>
        <w:ind w:hanging="360"/>
        <w:rPr>
          <w:sz w:val="24"/>
          <w:szCs w:val="24"/>
        </w:rPr>
      </w:pPr>
    </w:p>
    <w:p w:rsidR="00937FDC" w:rsidRPr="003F3F21" w:rsidRDefault="00937FDC" w:rsidP="00937FDC">
      <w:pPr>
        <w:pStyle w:val="BodyTextIndent"/>
        <w:tabs>
          <w:tab w:val="left" w:pos="360"/>
        </w:tabs>
        <w:ind w:hanging="360"/>
        <w:rPr>
          <w:sz w:val="24"/>
          <w:szCs w:val="24"/>
        </w:rPr>
      </w:pPr>
      <w:r w:rsidRPr="003F3F21">
        <w:rPr>
          <w:sz w:val="24"/>
          <w:szCs w:val="24"/>
        </w:rPr>
        <w:lastRenderedPageBreak/>
        <w:t>24. BORROWINGS</w:t>
      </w:r>
    </w:p>
    <w:p w:rsidR="00937FDC" w:rsidRPr="003F3F21" w:rsidRDefault="00937FDC" w:rsidP="00937FDC">
      <w:pPr>
        <w:pStyle w:val="BodyTextIndent"/>
        <w:tabs>
          <w:tab w:val="left" w:pos="360"/>
        </w:tabs>
        <w:ind w:hanging="360"/>
        <w:rPr>
          <w:sz w:val="12"/>
          <w:szCs w:val="12"/>
        </w:rPr>
      </w:pPr>
    </w:p>
    <w:p w:rsidR="00937FDC" w:rsidRPr="003F3F21" w:rsidRDefault="00E36E5A" w:rsidP="00937FDC">
      <w:pPr>
        <w:pStyle w:val="BodyTextIndent"/>
        <w:rPr>
          <w:sz w:val="16"/>
          <w:szCs w:val="16"/>
        </w:rPr>
      </w:pPr>
      <w:r w:rsidRPr="003F3F21">
        <w:rPr>
          <w:sz w:val="16"/>
          <w:szCs w:val="16"/>
        </w:rPr>
        <w:object w:dxaOrig="5358" w:dyaOrig="3550">
          <v:shape id="_x0000_i1032" type="#_x0000_t75" style="width:267.75pt;height:177.75pt" o:ole="">
            <v:imagedata r:id="rId23" o:title=""/>
          </v:shape>
          <o:OLEObject Type="Embed" ProgID="Excel.Sheet.8" ShapeID="_x0000_i1032" DrawAspect="Content" ObjectID="_1375160997" r:id="rId24"/>
        </w:object>
      </w:r>
    </w:p>
    <w:p w:rsidR="002A5967" w:rsidRPr="003F3F21" w:rsidRDefault="002A5967" w:rsidP="00937FDC">
      <w:pPr>
        <w:pStyle w:val="BodyTextIndent"/>
        <w:ind w:left="0" w:firstLine="360"/>
        <w:rPr>
          <w:sz w:val="24"/>
          <w:szCs w:val="24"/>
        </w:rPr>
      </w:pPr>
    </w:p>
    <w:p w:rsidR="00937FDC" w:rsidRPr="003F3F21" w:rsidRDefault="00937FDC" w:rsidP="00937FDC">
      <w:pPr>
        <w:pStyle w:val="BodyTextIndent"/>
        <w:ind w:left="0" w:firstLine="360"/>
        <w:rPr>
          <w:sz w:val="24"/>
          <w:szCs w:val="24"/>
        </w:rPr>
      </w:pPr>
      <w:r w:rsidRPr="003F3F21">
        <w:rPr>
          <w:sz w:val="24"/>
          <w:szCs w:val="24"/>
        </w:rPr>
        <w:t>The borrowings are secured.</w:t>
      </w:r>
      <w:r w:rsidRPr="003F3F21">
        <w:rPr>
          <w:sz w:val="24"/>
          <w:szCs w:val="24"/>
        </w:rPr>
        <w:tab/>
      </w:r>
    </w:p>
    <w:p w:rsidR="00937FDC" w:rsidRPr="003F3F21" w:rsidRDefault="00937FDC" w:rsidP="00937FDC">
      <w:pPr>
        <w:pStyle w:val="BodyTextIndent"/>
        <w:ind w:left="0"/>
        <w:rPr>
          <w:sz w:val="12"/>
          <w:szCs w:val="12"/>
        </w:rPr>
      </w:pPr>
    </w:p>
    <w:p w:rsidR="00937FDC" w:rsidRPr="003F3F21" w:rsidRDefault="00937FDC" w:rsidP="00937FDC">
      <w:pPr>
        <w:pStyle w:val="BodyTextIndent"/>
        <w:tabs>
          <w:tab w:val="left" w:pos="360"/>
        </w:tabs>
        <w:ind w:hanging="360"/>
        <w:rPr>
          <w:sz w:val="24"/>
          <w:szCs w:val="24"/>
        </w:rPr>
      </w:pPr>
      <w:r w:rsidRPr="003F3F21">
        <w:rPr>
          <w:sz w:val="24"/>
          <w:szCs w:val="24"/>
        </w:rPr>
        <w:t>25. OFF BALANCE SHEET FINANCIAL INSTRUMENTS</w:t>
      </w:r>
    </w:p>
    <w:p w:rsidR="00937FDC" w:rsidRPr="003F3F21" w:rsidRDefault="00937FDC" w:rsidP="00937FDC">
      <w:pPr>
        <w:pStyle w:val="BodyTextIndent"/>
        <w:ind w:left="0"/>
        <w:rPr>
          <w:sz w:val="12"/>
          <w:szCs w:val="12"/>
        </w:rPr>
      </w:pPr>
    </w:p>
    <w:p w:rsidR="00937FDC" w:rsidRPr="003F3F21" w:rsidRDefault="00937FDC" w:rsidP="00937FDC">
      <w:pPr>
        <w:pStyle w:val="BodyTextIndent"/>
        <w:ind w:right="-288"/>
        <w:rPr>
          <w:sz w:val="24"/>
          <w:szCs w:val="24"/>
        </w:rPr>
      </w:pPr>
      <w:r w:rsidRPr="003F3F21">
        <w:rPr>
          <w:sz w:val="24"/>
          <w:szCs w:val="24"/>
        </w:rPr>
        <w:t>There were no off balance sheet financial instruments as at the date of this announcement.</w:t>
      </w:r>
    </w:p>
    <w:p w:rsidR="00937FDC" w:rsidRPr="003F3F21" w:rsidRDefault="00937FDC" w:rsidP="00937FDC">
      <w:pPr>
        <w:pStyle w:val="BodyTextIndent"/>
        <w:ind w:left="0"/>
        <w:rPr>
          <w:sz w:val="12"/>
          <w:szCs w:val="12"/>
        </w:rPr>
      </w:pPr>
    </w:p>
    <w:p w:rsidR="00937FDC" w:rsidRPr="003F3F21" w:rsidRDefault="00937FDC" w:rsidP="00937FDC">
      <w:pPr>
        <w:pStyle w:val="BodyTextIndent"/>
        <w:tabs>
          <w:tab w:val="left" w:pos="360"/>
        </w:tabs>
        <w:ind w:hanging="360"/>
        <w:rPr>
          <w:sz w:val="24"/>
          <w:szCs w:val="24"/>
        </w:rPr>
      </w:pPr>
      <w:r w:rsidRPr="003F3F21">
        <w:rPr>
          <w:sz w:val="24"/>
          <w:szCs w:val="24"/>
        </w:rPr>
        <w:t>26. CHANGES IN MATERIAL LITIGATION</w:t>
      </w:r>
    </w:p>
    <w:p w:rsidR="00937FDC" w:rsidRPr="003F3F21" w:rsidRDefault="00937FDC" w:rsidP="00937FDC">
      <w:pPr>
        <w:pStyle w:val="BodyTextIndent"/>
        <w:rPr>
          <w:sz w:val="12"/>
          <w:szCs w:val="12"/>
        </w:rPr>
      </w:pPr>
    </w:p>
    <w:p w:rsidR="00937FDC" w:rsidRPr="003F3F21" w:rsidRDefault="00937FDC" w:rsidP="00937FDC">
      <w:pPr>
        <w:pStyle w:val="BodyTextIndent"/>
        <w:ind w:right="-288"/>
        <w:rPr>
          <w:sz w:val="24"/>
          <w:szCs w:val="24"/>
        </w:rPr>
      </w:pPr>
      <w:r w:rsidRPr="003F3F21">
        <w:rPr>
          <w:sz w:val="24"/>
          <w:szCs w:val="24"/>
        </w:rPr>
        <w:t>There were no material changes in litigations which would have a material adverse effect on the financial results for the financial quarter under review.</w:t>
      </w:r>
      <w:r w:rsidRPr="003F3F21">
        <w:rPr>
          <w:sz w:val="24"/>
          <w:szCs w:val="24"/>
        </w:rPr>
        <w:tab/>
      </w:r>
    </w:p>
    <w:p w:rsidR="00937FDC" w:rsidRPr="003F3F21" w:rsidRDefault="00937FDC" w:rsidP="00937FDC">
      <w:pPr>
        <w:pStyle w:val="BodyTextIndent"/>
        <w:ind w:right="-288"/>
        <w:rPr>
          <w:sz w:val="16"/>
          <w:szCs w:val="16"/>
        </w:rPr>
      </w:pPr>
    </w:p>
    <w:p w:rsidR="00937FDC" w:rsidRPr="003F3F21" w:rsidRDefault="00937FDC" w:rsidP="00937FDC">
      <w:pPr>
        <w:pStyle w:val="BodyTextIndent"/>
        <w:tabs>
          <w:tab w:val="left" w:pos="360"/>
        </w:tabs>
        <w:ind w:hanging="360"/>
        <w:rPr>
          <w:sz w:val="24"/>
          <w:szCs w:val="24"/>
        </w:rPr>
        <w:sectPr w:rsidR="00937FDC" w:rsidRPr="003F3F21" w:rsidSect="000E580B">
          <w:type w:val="continuous"/>
          <w:pgSz w:w="11909" w:h="16834" w:code="9"/>
          <w:pgMar w:top="1440" w:right="1800" w:bottom="720" w:left="1800" w:header="720" w:footer="720" w:gutter="0"/>
          <w:cols w:space="720"/>
        </w:sectPr>
      </w:pPr>
    </w:p>
    <w:p w:rsidR="00937FDC" w:rsidRPr="003F3F21" w:rsidRDefault="00937FDC" w:rsidP="00937FDC">
      <w:pPr>
        <w:pStyle w:val="BodyTextIndent"/>
        <w:tabs>
          <w:tab w:val="left" w:pos="360"/>
        </w:tabs>
        <w:ind w:hanging="360"/>
        <w:rPr>
          <w:sz w:val="24"/>
          <w:szCs w:val="24"/>
        </w:rPr>
      </w:pPr>
      <w:r w:rsidRPr="003F3F21">
        <w:rPr>
          <w:sz w:val="24"/>
          <w:szCs w:val="24"/>
        </w:rPr>
        <w:lastRenderedPageBreak/>
        <w:t>27. DIVIDEND PAYABLE</w:t>
      </w:r>
    </w:p>
    <w:p w:rsidR="00937FDC" w:rsidRPr="003F3F21" w:rsidRDefault="00937FDC" w:rsidP="00937FDC">
      <w:pPr>
        <w:pStyle w:val="BodyTextIndent"/>
        <w:rPr>
          <w:sz w:val="12"/>
          <w:szCs w:val="12"/>
        </w:rPr>
      </w:pPr>
    </w:p>
    <w:p w:rsidR="00937FDC" w:rsidRPr="003F3F21" w:rsidRDefault="00937FDC" w:rsidP="00937FDC">
      <w:pPr>
        <w:pStyle w:val="BodyTextIndent"/>
        <w:ind w:right="-288"/>
        <w:rPr>
          <w:sz w:val="24"/>
          <w:szCs w:val="24"/>
        </w:rPr>
      </w:pPr>
      <w:r w:rsidRPr="003F3F21">
        <w:rPr>
          <w:sz w:val="24"/>
          <w:szCs w:val="24"/>
        </w:rPr>
        <w:t>No interim ordinary dividend has been declared for the financial period ended 3</w:t>
      </w:r>
      <w:r w:rsidR="00E36E5A" w:rsidRPr="003F3F21">
        <w:rPr>
          <w:sz w:val="24"/>
          <w:szCs w:val="24"/>
        </w:rPr>
        <w:t>0th</w:t>
      </w:r>
      <w:r w:rsidRPr="003F3F21">
        <w:rPr>
          <w:sz w:val="24"/>
          <w:szCs w:val="24"/>
        </w:rPr>
        <w:t xml:space="preserve"> </w:t>
      </w:r>
      <w:r w:rsidR="00E36E5A" w:rsidRPr="003F3F21">
        <w:rPr>
          <w:sz w:val="24"/>
          <w:szCs w:val="24"/>
        </w:rPr>
        <w:t>June</w:t>
      </w:r>
      <w:r w:rsidRPr="003F3F21">
        <w:rPr>
          <w:sz w:val="24"/>
          <w:szCs w:val="24"/>
        </w:rPr>
        <w:t xml:space="preserve"> 2011 (3</w:t>
      </w:r>
      <w:r w:rsidR="00E36E5A" w:rsidRPr="003F3F21">
        <w:rPr>
          <w:sz w:val="24"/>
          <w:szCs w:val="24"/>
        </w:rPr>
        <w:t>0th</w:t>
      </w:r>
      <w:r w:rsidRPr="003F3F21">
        <w:rPr>
          <w:sz w:val="24"/>
          <w:szCs w:val="24"/>
        </w:rPr>
        <w:t xml:space="preserve"> </w:t>
      </w:r>
      <w:r w:rsidR="00E36E5A" w:rsidRPr="003F3F21">
        <w:rPr>
          <w:sz w:val="24"/>
          <w:szCs w:val="24"/>
        </w:rPr>
        <w:t>June</w:t>
      </w:r>
      <w:r w:rsidRPr="003F3F21">
        <w:rPr>
          <w:sz w:val="24"/>
          <w:szCs w:val="24"/>
        </w:rPr>
        <w:t xml:space="preserve"> 2010: Nil).</w:t>
      </w:r>
    </w:p>
    <w:p w:rsidR="00937FDC" w:rsidRPr="003F3F21" w:rsidRDefault="00937FDC" w:rsidP="00937FDC">
      <w:pPr>
        <w:pStyle w:val="BodyTextIndent"/>
        <w:ind w:right="-288"/>
        <w:rPr>
          <w:sz w:val="12"/>
          <w:szCs w:val="12"/>
        </w:rPr>
      </w:pPr>
    </w:p>
    <w:p w:rsidR="00937FDC" w:rsidRPr="003F3F21" w:rsidRDefault="00937FDC" w:rsidP="00937FDC">
      <w:pPr>
        <w:pStyle w:val="BodyTextIndent"/>
        <w:tabs>
          <w:tab w:val="left" w:pos="360"/>
        </w:tabs>
        <w:ind w:left="0"/>
        <w:rPr>
          <w:sz w:val="24"/>
          <w:szCs w:val="24"/>
        </w:rPr>
      </w:pPr>
      <w:r w:rsidRPr="003F3F21">
        <w:rPr>
          <w:sz w:val="24"/>
          <w:szCs w:val="24"/>
        </w:rPr>
        <w:t>28. EARNINGS PER ORDINARY SHARE</w:t>
      </w:r>
    </w:p>
    <w:p w:rsidR="00937FDC" w:rsidRPr="003F3F21" w:rsidRDefault="00937FDC" w:rsidP="00937FDC">
      <w:pPr>
        <w:pStyle w:val="BodyTextIndent"/>
        <w:rPr>
          <w:sz w:val="12"/>
          <w:szCs w:val="12"/>
        </w:rPr>
      </w:pPr>
    </w:p>
    <w:p w:rsidR="00937FDC" w:rsidRPr="003F3F21" w:rsidRDefault="00937FDC" w:rsidP="00937FDC">
      <w:pPr>
        <w:pStyle w:val="BodyTextIndent"/>
        <w:ind w:right="-288"/>
        <w:rPr>
          <w:sz w:val="24"/>
          <w:szCs w:val="24"/>
        </w:rPr>
      </w:pPr>
      <w:proofErr w:type="gramStart"/>
      <w:r w:rsidRPr="003F3F21">
        <w:rPr>
          <w:sz w:val="24"/>
          <w:szCs w:val="24"/>
        </w:rPr>
        <w:t>Basic earnings per share is</w:t>
      </w:r>
      <w:proofErr w:type="gramEnd"/>
      <w:r w:rsidRPr="003F3F21">
        <w:rPr>
          <w:sz w:val="24"/>
          <w:szCs w:val="24"/>
        </w:rPr>
        <w:t xml:space="preserve"> calculated by dividing the net loss for the period by the weighted average number of ordinary shares in issue during the period.</w:t>
      </w:r>
    </w:p>
    <w:p w:rsidR="00937FDC" w:rsidRPr="003F3F21" w:rsidRDefault="00937FDC" w:rsidP="00937FDC">
      <w:pPr>
        <w:pStyle w:val="BodyTextIndent"/>
        <w:rPr>
          <w:sz w:val="12"/>
          <w:szCs w:val="12"/>
        </w:rPr>
      </w:pPr>
    </w:p>
    <w:p w:rsidR="00937FDC" w:rsidRPr="003F3F21" w:rsidRDefault="006701AB" w:rsidP="00937FDC">
      <w:pPr>
        <w:pStyle w:val="BodyTextIndent"/>
        <w:rPr>
          <w:sz w:val="12"/>
          <w:szCs w:val="12"/>
        </w:rPr>
      </w:pPr>
      <w:r w:rsidRPr="003F3F21">
        <w:rPr>
          <w:sz w:val="24"/>
          <w:szCs w:val="24"/>
        </w:rPr>
        <w:object w:dxaOrig="9490" w:dyaOrig="2664">
          <v:shape id="_x0000_i1033" type="#_x0000_t75" style="width:474.75pt;height:133.5pt" o:ole="">
            <v:imagedata r:id="rId25" o:title=""/>
          </v:shape>
          <o:OLEObject Type="Embed" ProgID="Excel.Sheet.8" ShapeID="_x0000_i1033" DrawAspect="Content" ObjectID="_1375160998" r:id="rId26"/>
        </w:object>
      </w:r>
    </w:p>
    <w:p w:rsidR="00937FDC" w:rsidRPr="003F3F21" w:rsidRDefault="00937FDC" w:rsidP="00937FDC">
      <w:pPr>
        <w:pStyle w:val="BodyTextIndent"/>
        <w:ind w:right="-288"/>
        <w:rPr>
          <w:sz w:val="24"/>
          <w:szCs w:val="24"/>
        </w:rPr>
      </w:pPr>
      <w:r w:rsidRPr="003F3F21">
        <w:rPr>
          <w:sz w:val="24"/>
          <w:szCs w:val="24"/>
        </w:rPr>
        <w:t xml:space="preserve">The basic earnings per share </w:t>
      </w:r>
      <w:proofErr w:type="gramStart"/>
      <w:r w:rsidRPr="003F3F21">
        <w:rPr>
          <w:sz w:val="24"/>
          <w:szCs w:val="24"/>
        </w:rPr>
        <w:t>is</w:t>
      </w:r>
      <w:proofErr w:type="gramEnd"/>
      <w:r w:rsidRPr="003F3F21">
        <w:rPr>
          <w:sz w:val="24"/>
          <w:szCs w:val="24"/>
        </w:rPr>
        <w:t xml:space="preserve"> not subject to dilution as there is no dilutive effect of any potential ordinary shares.</w:t>
      </w:r>
    </w:p>
    <w:p w:rsidR="002A5967" w:rsidRPr="003F3F21" w:rsidRDefault="002A5967" w:rsidP="00937FDC">
      <w:pPr>
        <w:pStyle w:val="BodyTextIndent"/>
        <w:ind w:right="-288"/>
        <w:rPr>
          <w:sz w:val="24"/>
          <w:szCs w:val="24"/>
        </w:rPr>
      </w:pPr>
    </w:p>
    <w:p w:rsidR="002A5967" w:rsidRPr="003F3F21" w:rsidRDefault="002A5967" w:rsidP="00937FDC">
      <w:pPr>
        <w:pStyle w:val="BodyTextIndent"/>
        <w:ind w:right="-288"/>
        <w:rPr>
          <w:sz w:val="24"/>
          <w:szCs w:val="24"/>
        </w:rPr>
      </w:pPr>
    </w:p>
    <w:p w:rsidR="002A5967" w:rsidRPr="003F3F21" w:rsidRDefault="002A5967" w:rsidP="00937FDC">
      <w:pPr>
        <w:pStyle w:val="BodyTextIndent"/>
        <w:ind w:right="-288"/>
        <w:rPr>
          <w:sz w:val="24"/>
          <w:szCs w:val="24"/>
        </w:rPr>
      </w:pPr>
    </w:p>
    <w:p w:rsidR="002A5967" w:rsidRPr="003F3F21" w:rsidRDefault="002A5967" w:rsidP="00937FDC">
      <w:pPr>
        <w:pStyle w:val="BodyTextIndent"/>
        <w:ind w:right="-288"/>
        <w:rPr>
          <w:sz w:val="24"/>
          <w:szCs w:val="24"/>
        </w:rPr>
      </w:pPr>
    </w:p>
    <w:p w:rsidR="002A5967" w:rsidRPr="003F3F21" w:rsidRDefault="002A5967" w:rsidP="00937FDC">
      <w:pPr>
        <w:pStyle w:val="BodyTextIndent"/>
        <w:ind w:right="-288"/>
        <w:rPr>
          <w:sz w:val="24"/>
          <w:szCs w:val="24"/>
        </w:rPr>
      </w:pPr>
    </w:p>
    <w:p w:rsidR="002A5967" w:rsidRPr="003F3F21" w:rsidRDefault="002A5967" w:rsidP="00937FDC">
      <w:pPr>
        <w:pStyle w:val="BodyTextIndent"/>
        <w:ind w:right="-288"/>
        <w:rPr>
          <w:sz w:val="24"/>
          <w:szCs w:val="24"/>
        </w:rPr>
      </w:pPr>
    </w:p>
    <w:p w:rsidR="00937FDC" w:rsidRPr="003F3F21" w:rsidRDefault="00937FDC" w:rsidP="00937FDC">
      <w:pPr>
        <w:pStyle w:val="BodyTextIndent"/>
        <w:ind w:left="0" w:right="-288"/>
        <w:rPr>
          <w:sz w:val="12"/>
          <w:szCs w:val="12"/>
        </w:rPr>
      </w:pPr>
    </w:p>
    <w:p w:rsidR="00937FDC" w:rsidRPr="003F3F21" w:rsidRDefault="00937FDC" w:rsidP="00937FDC">
      <w:pPr>
        <w:pStyle w:val="BodyTextIndent"/>
        <w:ind w:right="-288" w:hanging="360"/>
        <w:rPr>
          <w:sz w:val="24"/>
          <w:szCs w:val="24"/>
        </w:rPr>
      </w:pPr>
      <w:r w:rsidRPr="003F3F21">
        <w:rPr>
          <w:sz w:val="24"/>
          <w:szCs w:val="24"/>
        </w:rPr>
        <w:lastRenderedPageBreak/>
        <w:t>29. REALISED AND UNREALISED PROFITS / (LOSSES) DISCLOSURE</w:t>
      </w:r>
    </w:p>
    <w:p w:rsidR="00937FDC" w:rsidRPr="003F3F21" w:rsidRDefault="00937FDC" w:rsidP="00937FDC">
      <w:pPr>
        <w:pStyle w:val="BodyTextIndent"/>
        <w:ind w:right="-288" w:hanging="360"/>
        <w:rPr>
          <w:sz w:val="12"/>
          <w:szCs w:val="12"/>
        </w:rPr>
      </w:pPr>
    </w:p>
    <w:p w:rsidR="00937FDC" w:rsidRPr="003F3F21" w:rsidRDefault="00937FDC" w:rsidP="00937FDC">
      <w:pPr>
        <w:pStyle w:val="BodyTextIndent"/>
        <w:ind w:right="-288" w:hanging="360"/>
        <w:rPr>
          <w:sz w:val="24"/>
          <w:szCs w:val="24"/>
        </w:rPr>
      </w:pPr>
      <w:r w:rsidRPr="003F3F21">
        <w:rPr>
          <w:sz w:val="24"/>
          <w:szCs w:val="24"/>
        </w:rPr>
        <w:tab/>
      </w:r>
      <w:r w:rsidR="00A60121" w:rsidRPr="003F3F21">
        <w:rPr>
          <w:sz w:val="24"/>
          <w:szCs w:val="24"/>
        </w:rPr>
        <w:object w:dxaOrig="8084" w:dyaOrig="6732">
          <v:shape id="_x0000_i1034" type="#_x0000_t75" style="width:406.5pt;height:336pt" o:ole="">
            <v:imagedata r:id="rId27" o:title=""/>
          </v:shape>
          <o:OLEObject Type="Embed" ProgID="Excel.Sheet.8" ShapeID="_x0000_i1034" DrawAspect="Content" ObjectID="_1375160999" r:id="rId28"/>
        </w:object>
      </w:r>
    </w:p>
    <w:p w:rsidR="00937FDC" w:rsidRPr="003F3F21" w:rsidRDefault="00937FDC" w:rsidP="00937FDC">
      <w:pPr>
        <w:jc w:val="both"/>
        <w:rPr>
          <w:sz w:val="12"/>
          <w:szCs w:val="12"/>
        </w:rPr>
      </w:pPr>
    </w:p>
    <w:p w:rsidR="00937FDC" w:rsidRPr="003F3F21" w:rsidRDefault="00937FDC" w:rsidP="00937FDC">
      <w:pPr>
        <w:tabs>
          <w:tab w:val="left" w:pos="360"/>
        </w:tabs>
        <w:ind w:left="360" w:hanging="360"/>
        <w:rPr>
          <w:sz w:val="24"/>
          <w:szCs w:val="24"/>
        </w:rPr>
      </w:pPr>
      <w:r w:rsidRPr="003F3F21">
        <w:rPr>
          <w:sz w:val="24"/>
          <w:szCs w:val="24"/>
        </w:rPr>
        <w:t>30. AUTHORISATION FOR ISSUE</w:t>
      </w:r>
    </w:p>
    <w:p w:rsidR="00937FDC" w:rsidRPr="003F3F21" w:rsidRDefault="00937FDC" w:rsidP="00937FDC">
      <w:pPr>
        <w:rPr>
          <w:sz w:val="12"/>
          <w:szCs w:val="12"/>
        </w:rPr>
      </w:pPr>
    </w:p>
    <w:p w:rsidR="00937FDC" w:rsidRPr="003F3F21" w:rsidRDefault="00937FDC" w:rsidP="00937FDC">
      <w:pPr>
        <w:ind w:left="360" w:right="-288"/>
        <w:jc w:val="both"/>
        <w:rPr>
          <w:sz w:val="24"/>
          <w:szCs w:val="24"/>
        </w:rPr>
      </w:pPr>
      <w:r w:rsidRPr="003F3F21">
        <w:rPr>
          <w:sz w:val="24"/>
          <w:szCs w:val="24"/>
        </w:rPr>
        <w:t xml:space="preserve">The interim financial statements were </w:t>
      </w:r>
      <w:proofErr w:type="spellStart"/>
      <w:r w:rsidRPr="003F3F21">
        <w:rPr>
          <w:sz w:val="24"/>
          <w:szCs w:val="24"/>
        </w:rPr>
        <w:t>authorised</w:t>
      </w:r>
      <w:proofErr w:type="spellEnd"/>
      <w:r w:rsidRPr="003F3F21">
        <w:rPr>
          <w:sz w:val="24"/>
          <w:szCs w:val="24"/>
        </w:rPr>
        <w:t xml:space="preserve"> for issue by the Board of Directors in accordance with a resolution of the directors on 2</w:t>
      </w:r>
      <w:r w:rsidR="00E96D65" w:rsidRPr="003F3F21">
        <w:rPr>
          <w:sz w:val="24"/>
          <w:szCs w:val="24"/>
        </w:rPr>
        <w:t>6th</w:t>
      </w:r>
      <w:r w:rsidRPr="003F3F21">
        <w:rPr>
          <w:sz w:val="24"/>
          <w:szCs w:val="24"/>
        </w:rPr>
        <w:t xml:space="preserve"> </w:t>
      </w:r>
      <w:r w:rsidR="00E96D65" w:rsidRPr="003F3F21">
        <w:rPr>
          <w:sz w:val="24"/>
          <w:szCs w:val="24"/>
        </w:rPr>
        <w:t>August</w:t>
      </w:r>
      <w:r w:rsidRPr="003F3F21">
        <w:rPr>
          <w:sz w:val="24"/>
          <w:szCs w:val="24"/>
        </w:rPr>
        <w:t xml:space="preserve"> 2011.</w:t>
      </w:r>
    </w:p>
    <w:p w:rsidR="003D1B5D" w:rsidRPr="003F3F21" w:rsidRDefault="003D1B5D" w:rsidP="00937FDC">
      <w:pPr>
        <w:rPr>
          <w:sz w:val="24"/>
          <w:szCs w:val="24"/>
        </w:rPr>
      </w:pPr>
    </w:p>
    <w:sectPr w:rsidR="003D1B5D" w:rsidRPr="003F3F21" w:rsidSect="000E580B">
      <w:type w:val="continuous"/>
      <w:pgSz w:w="11909" w:h="16834" w:code="9"/>
      <w:pgMar w:top="144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A29" w:rsidRDefault="007D7A29" w:rsidP="00B56408">
      <w:r>
        <w:separator/>
      </w:r>
    </w:p>
  </w:endnote>
  <w:endnote w:type="continuationSeparator" w:id="1">
    <w:p w:rsidR="007D7A29" w:rsidRDefault="007D7A29" w:rsidP="00B5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62" w:rsidRDefault="00A54429" w:rsidP="00AC753B">
    <w:pPr>
      <w:pStyle w:val="Footer"/>
      <w:framePr w:wrap="around" w:vAnchor="text" w:hAnchor="margin" w:xAlign="center" w:y="1"/>
      <w:rPr>
        <w:rStyle w:val="PageNumber"/>
      </w:rPr>
    </w:pPr>
    <w:r>
      <w:rPr>
        <w:rStyle w:val="PageNumber"/>
      </w:rPr>
      <w:fldChar w:fldCharType="begin"/>
    </w:r>
    <w:r w:rsidR="00367040">
      <w:rPr>
        <w:rStyle w:val="PageNumber"/>
      </w:rPr>
      <w:instrText xml:space="preserve">PAGE  </w:instrText>
    </w:r>
    <w:r>
      <w:rPr>
        <w:rStyle w:val="PageNumber"/>
      </w:rPr>
      <w:fldChar w:fldCharType="end"/>
    </w:r>
  </w:p>
  <w:p w:rsidR="007A6A62" w:rsidRDefault="009214CB" w:rsidP="00AC75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62" w:rsidRDefault="00A54429" w:rsidP="00AC753B">
    <w:pPr>
      <w:pStyle w:val="Footer"/>
      <w:framePr w:wrap="around" w:vAnchor="text" w:hAnchor="margin" w:xAlign="center" w:y="1"/>
      <w:rPr>
        <w:rStyle w:val="PageNumber"/>
      </w:rPr>
    </w:pPr>
    <w:r>
      <w:rPr>
        <w:rStyle w:val="PageNumber"/>
      </w:rPr>
      <w:fldChar w:fldCharType="begin"/>
    </w:r>
    <w:r w:rsidR="00367040">
      <w:rPr>
        <w:rStyle w:val="PageNumber"/>
      </w:rPr>
      <w:instrText xml:space="preserve">PAGE  </w:instrText>
    </w:r>
    <w:r>
      <w:rPr>
        <w:rStyle w:val="PageNumber"/>
      </w:rPr>
      <w:fldChar w:fldCharType="separate"/>
    </w:r>
    <w:r w:rsidR="009214CB">
      <w:rPr>
        <w:rStyle w:val="PageNumber"/>
        <w:noProof/>
      </w:rPr>
      <w:t>1</w:t>
    </w:r>
    <w:r>
      <w:rPr>
        <w:rStyle w:val="PageNumber"/>
      </w:rPr>
      <w:fldChar w:fldCharType="end"/>
    </w:r>
  </w:p>
  <w:p w:rsidR="007A6A62" w:rsidRDefault="009214CB" w:rsidP="00AC75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A29" w:rsidRDefault="007D7A29" w:rsidP="00B56408">
      <w:r>
        <w:separator/>
      </w:r>
    </w:p>
  </w:footnote>
  <w:footnote w:type="continuationSeparator" w:id="1">
    <w:p w:rsidR="007D7A29" w:rsidRDefault="007D7A29" w:rsidP="00B5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14267"/>
    <w:multiLevelType w:val="hybridMultilevel"/>
    <w:tmpl w:val="0284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44FC4"/>
    <w:multiLevelType w:val="hybridMultilevel"/>
    <w:tmpl w:val="BA62D404"/>
    <w:lvl w:ilvl="0" w:tplc="D370F2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7FDC"/>
    <w:rsid w:val="00014179"/>
    <w:rsid w:val="00056CCB"/>
    <w:rsid w:val="00083940"/>
    <w:rsid w:val="000D75D2"/>
    <w:rsid w:val="001F0A92"/>
    <w:rsid w:val="00251C03"/>
    <w:rsid w:val="00254D88"/>
    <w:rsid w:val="002965DA"/>
    <w:rsid w:val="002A5967"/>
    <w:rsid w:val="002B4121"/>
    <w:rsid w:val="002E7B8C"/>
    <w:rsid w:val="0034426E"/>
    <w:rsid w:val="00367040"/>
    <w:rsid w:val="003D1B5D"/>
    <w:rsid w:val="003D5A5C"/>
    <w:rsid w:val="003F3F21"/>
    <w:rsid w:val="00465075"/>
    <w:rsid w:val="00485EA8"/>
    <w:rsid w:val="00492395"/>
    <w:rsid w:val="00495D55"/>
    <w:rsid w:val="005003CA"/>
    <w:rsid w:val="005465FC"/>
    <w:rsid w:val="005A0DCD"/>
    <w:rsid w:val="006701AB"/>
    <w:rsid w:val="006A59BE"/>
    <w:rsid w:val="0079312E"/>
    <w:rsid w:val="00795DE1"/>
    <w:rsid w:val="007A0D72"/>
    <w:rsid w:val="007D7A29"/>
    <w:rsid w:val="00820363"/>
    <w:rsid w:val="0086592F"/>
    <w:rsid w:val="008B31BD"/>
    <w:rsid w:val="00921481"/>
    <w:rsid w:val="009214CB"/>
    <w:rsid w:val="00937FDC"/>
    <w:rsid w:val="00946777"/>
    <w:rsid w:val="00953B1E"/>
    <w:rsid w:val="00954528"/>
    <w:rsid w:val="00A54429"/>
    <w:rsid w:val="00A60121"/>
    <w:rsid w:val="00A66A8A"/>
    <w:rsid w:val="00B373C9"/>
    <w:rsid w:val="00B42034"/>
    <w:rsid w:val="00B56408"/>
    <w:rsid w:val="00BD4193"/>
    <w:rsid w:val="00D72CB5"/>
    <w:rsid w:val="00D92E8B"/>
    <w:rsid w:val="00D944F5"/>
    <w:rsid w:val="00DF3F7A"/>
    <w:rsid w:val="00E36E5A"/>
    <w:rsid w:val="00E84C72"/>
    <w:rsid w:val="00E873DF"/>
    <w:rsid w:val="00E96D65"/>
    <w:rsid w:val="00ED75B9"/>
    <w:rsid w:val="00F20047"/>
    <w:rsid w:val="00F22CFE"/>
    <w:rsid w:val="00F72A26"/>
    <w:rsid w:val="00F849F0"/>
    <w:rsid w:val="00FD1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7FDC"/>
    <w:pPr>
      <w:keepNext/>
      <w:outlineLvl w:val="0"/>
    </w:pPr>
    <w:rPr>
      <w:b/>
      <w:sz w:val="24"/>
    </w:rPr>
  </w:style>
  <w:style w:type="paragraph" w:styleId="Heading3">
    <w:name w:val="heading 3"/>
    <w:basedOn w:val="Normal"/>
    <w:next w:val="Normal"/>
    <w:link w:val="Heading3Char"/>
    <w:qFormat/>
    <w:rsid w:val="00937FDC"/>
    <w:pPr>
      <w:keepNext/>
      <w:jc w:val="both"/>
      <w:outlineLvl w:val="2"/>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FD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37FDC"/>
    <w:rPr>
      <w:rFonts w:ascii="Times New Roman" w:eastAsia="Times New Roman" w:hAnsi="Times New Roman" w:cs="Times New Roman"/>
      <w:i/>
      <w:iCs/>
      <w:sz w:val="24"/>
      <w:szCs w:val="20"/>
    </w:rPr>
  </w:style>
  <w:style w:type="paragraph" w:styleId="BodyTextIndent">
    <w:name w:val="Body Text Indent"/>
    <w:basedOn w:val="Normal"/>
    <w:link w:val="BodyTextIndentChar"/>
    <w:rsid w:val="00937FDC"/>
    <w:pPr>
      <w:ind w:left="360"/>
      <w:jc w:val="both"/>
    </w:pPr>
    <w:rPr>
      <w:sz w:val="22"/>
    </w:rPr>
  </w:style>
  <w:style w:type="character" w:customStyle="1" w:styleId="BodyTextIndentChar">
    <w:name w:val="Body Text Indent Char"/>
    <w:basedOn w:val="DefaultParagraphFont"/>
    <w:link w:val="BodyTextIndent"/>
    <w:rsid w:val="00937FDC"/>
    <w:rPr>
      <w:rFonts w:ascii="Times New Roman" w:eastAsia="Times New Roman" w:hAnsi="Times New Roman" w:cs="Times New Roman"/>
      <w:szCs w:val="20"/>
    </w:rPr>
  </w:style>
  <w:style w:type="paragraph" w:styleId="Footer">
    <w:name w:val="footer"/>
    <w:basedOn w:val="Normal"/>
    <w:link w:val="FooterChar"/>
    <w:rsid w:val="00937FDC"/>
    <w:pPr>
      <w:tabs>
        <w:tab w:val="center" w:pos="4320"/>
        <w:tab w:val="right" w:pos="8640"/>
      </w:tabs>
    </w:pPr>
  </w:style>
  <w:style w:type="character" w:customStyle="1" w:styleId="FooterChar">
    <w:name w:val="Footer Char"/>
    <w:basedOn w:val="DefaultParagraphFont"/>
    <w:link w:val="Footer"/>
    <w:rsid w:val="00937FDC"/>
    <w:rPr>
      <w:rFonts w:ascii="Times New Roman" w:eastAsia="Times New Roman" w:hAnsi="Times New Roman" w:cs="Times New Roman"/>
      <w:sz w:val="20"/>
      <w:szCs w:val="20"/>
    </w:rPr>
  </w:style>
  <w:style w:type="character" w:styleId="PageNumber">
    <w:name w:val="page number"/>
    <w:basedOn w:val="DefaultParagraphFont"/>
    <w:rsid w:val="00937FDC"/>
  </w:style>
  <w:style w:type="paragraph" w:styleId="ListParagraph">
    <w:name w:val="List Paragraph"/>
    <w:basedOn w:val="Normal"/>
    <w:uiPriority w:val="34"/>
    <w:qFormat/>
    <w:rsid w:val="00D92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oleObject" Target="embeddings/Microsoft_Office_Excel_97-2003_Worksheet2.xls"/><Relationship Id="rId26" Type="http://schemas.openxmlformats.org/officeDocument/2006/relationships/oleObject" Target="embeddings/Microsoft_Office_Excel_97-2003_Worksheet6.xls"/><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footer" Target="footer1.xml"/><Relationship Id="rId12" Type="http://schemas.openxmlformats.org/officeDocument/2006/relationships/package" Target="embeddings/Microsoft_Office_Excel_Worksheet1.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package" Target="embeddings/Microsoft_Office_Excel_Worksheet3.xlsx"/><Relationship Id="rId20" Type="http://schemas.openxmlformats.org/officeDocument/2006/relationships/oleObject" Target="embeddings/Microsoft_Office_Excel_97-2003_Worksheet3.xls"/><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Microsoft_Office_Excel_97-2003_Worksheet5.xls"/><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Office_Excel_97-2003_Worksheet7.xls"/><Relationship Id="rId10" Type="http://schemas.openxmlformats.org/officeDocument/2006/relationships/oleObject" Target="embeddings/Microsoft_Office_Excel_97-2003_Worksheet1.xls"/><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Office_Excel_Worksheet2.xlsx"/><Relationship Id="rId22" Type="http://schemas.openxmlformats.org/officeDocument/2006/relationships/oleObject" Target="embeddings/Microsoft_Office_Excel_97-2003_Worksheet4.xls"/><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TR 5</cp:lastModifiedBy>
  <cp:revision>2</cp:revision>
  <cp:lastPrinted>2011-08-13T00:51:00Z</cp:lastPrinted>
  <dcterms:created xsi:type="dcterms:W3CDTF">2011-08-18T00:23:00Z</dcterms:created>
  <dcterms:modified xsi:type="dcterms:W3CDTF">2011-08-18T00:23:00Z</dcterms:modified>
</cp:coreProperties>
</file>